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05770">
      <w:pPr>
        <w:spacing w:line="360" w:lineRule="auto"/>
        <w:jc w:val="center"/>
        <w:rPr>
          <w:rFonts w:hint="eastAsia" w:ascii="宋体" w:hAnsi="宋体" w:eastAsia="宋体" w:cs="Times New Roman"/>
          <w:b/>
          <w:color w:val="auto"/>
          <w:sz w:val="48"/>
          <w:szCs w:val="48"/>
        </w:rPr>
      </w:pPr>
      <w:r>
        <w:rPr>
          <w:rFonts w:hint="eastAsia" w:ascii="宋体" w:hAnsi="宋体" w:cs="Times New Roman"/>
          <w:b/>
          <w:color w:val="auto"/>
          <w:sz w:val="48"/>
          <w:szCs w:val="48"/>
          <w:lang w:val="en-US" w:eastAsia="zh-CN"/>
        </w:rPr>
        <w:t>云南工业技师学院（太和校区）计算机网络技术实训设备采购（二次）</w:t>
      </w:r>
    </w:p>
    <w:p w14:paraId="0B2DE2C7">
      <w:pPr>
        <w:spacing w:line="360" w:lineRule="auto"/>
        <w:rPr>
          <w:rFonts w:hint="eastAsia" w:ascii="宋体" w:hAnsi="宋体"/>
          <w:b/>
          <w:color w:val="auto"/>
          <w:sz w:val="32"/>
          <w:szCs w:val="32"/>
        </w:rPr>
      </w:pPr>
    </w:p>
    <w:p w14:paraId="55BF56EC">
      <w:pPr>
        <w:spacing w:line="360" w:lineRule="auto"/>
        <w:rPr>
          <w:rFonts w:hint="eastAsia" w:ascii="宋体" w:hAnsi="宋体"/>
          <w:b/>
          <w:color w:val="auto"/>
          <w:sz w:val="32"/>
          <w:szCs w:val="32"/>
        </w:rPr>
      </w:pPr>
    </w:p>
    <w:p w14:paraId="53986B5E">
      <w:pPr>
        <w:spacing w:line="360" w:lineRule="auto"/>
        <w:rPr>
          <w:rFonts w:hint="eastAsia" w:ascii="宋体" w:hAnsi="宋体"/>
          <w:b/>
          <w:color w:val="auto"/>
          <w:sz w:val="32"/>
          <w:szCs w:val="32"/>
        </w:rPr>
      </w:pPr>
    </w:p>
    <w:p w14:paraId="71921C18">
      <w:pPr>
        <w:spacing w:line="360" w:lineRule="auto"/>
        <w:rPr>
          <w:rFonts w:hint="eastAsia" w:ascii="宋体" w:hAnsi="宋体"/>
          <w:b/>
          <w:color w:val="auto"/>
          <w:sz w:val="32"/>
          <w:szCs w:val="32"/>
        </w:rPr>
      </w:pPr>
    </w:p>
    <w:p w14:paraId="771B6D20">
      <w:pPr>
        <w:pStyle w:val="36"/>
        <w:rPr>
          <w:rFonts w:hint="eastAsia" w:ascii="宋体" w:hAnsi="宋体"/>
          <w:b/>
          <w:color w:val="auto"/>
          <w:sz w:val="32"/>
          <w:szCs w:val="32"/>
        </w:rPr>
      </w:pPr>
    </w:p>
    <w:p w14:paraId="16AD0893">
      <w:pPr>
        <w:pStyle w:val="8"/>
        <w:rPr>
          <w:rFonts w:hint="eastAsia"/>
          <w:color w:val="auto"/>
        </w:rPr>
      </w:pPr>
    </w:p>
    <w:p w14:paraId="7A3126E6">
      <w:pPr>
        <w:spacing w:line="360" w:lineRule="auto"/>
        <w:jc w:val="center"/>
        <w:rPr>
          <w:rFonts w:hint="eastAsia" w:ascii="宋体" w:hAnsi="宋体"/>
          <w:b/>
          <w:color w:val="auto"/>
          <w:sz w:val="72"/>
          <w:szCs w:val="72"/>
        </w:rPr>
      </w:pPr>
      <w:r>
        <w:rPr>
          <w:rFonts w:hint="eastAsia" w:ascii="宋体" w:hAnsi="宋体"/>
          <w:b/>
          <w:color w:val="auto"/>
          <w:sz w:val="72"/>
          <w:szCs w:val="72"/>
        </w:rPr>
        <w:t>招标文件</w:t>
      </w:r>
    </w:p>
    <w:p w14:paraId="52A5812B">
      <w:pPr>
        <w:spacing w:line="360" w:lineRule="auto"/>
        <w:rPr>
          <w:rFonts w:hint="eastAsia" w:ascii="宋体" w:hAnsi="宋体"/>
          <w:b/>
          <w:color w:val="auto"/>
          <w:szCs w:val="28"/>
        </w:rPr>
      </w:pPr>
    </w:p>
    <w:p w14:paraId="2C1F59E7">
      <w:pPr>
        <w:spacing w:line="360" w:lineRule="auto"/>
        <w:jc w:val="center"/>
        <w:rPr>
          <w:rFonts w:hint="default" w:ascii="宋体" w:hAnsi="宋体" w:eastAsia="宋体" w:cs="Times New Roman"/>
          <w:b/>
          <w:color w:val="auto"/>
          <w:sz w:val="28"/>
          <w:szCs w:val="28"/>
          <w:lang w:val="en-US" w:eastAsia="zh-CN"/>
        </w:rPr>
      </w:pPr>
      <w:r>
        <w:rPr>
          <w:rFonts w:hint="eastAsia" w:ascii="宋体" w:hAnsi="宋体"/>
          <w:b/>
          <w:color w:val="auto"/>
          <w:sz w:val="28"/>
          <w:szCs w:val="28"/>
        </w:rPr>
        <w:t>项目</w:t>
      </w:r>
      <w:r>
        <w:rPr>
          <w:rFonts w:hint="eastAsia" w:ascii="宋体" w:hAnsi="宋体" w:eastAsia="宋体" w:cs="Times New Roman"/>
          <w:b/>
          <w:color w:val="auto"/>
          <w:sz w:val="28"/>
          <w:szCs w:val="28"/>
        </w:rPr>
        <w:t>编号：YNRTZZ 202</w:t>
      </w:r>
      <w:r>
        <w:rPr>
          <w:rFonts w:hint="eastAsia" w:ascii="宋体" w:hAnsi="宋体" w:eastAsia="宋体" w:cs="Times New Roman"/>
          <w:b/>
          <w:color w:val="auto"/>
          <w:sz w:val="28"/>
          <w:szCs w:val="28"/>
          <w:lang w:val="en-US" w:eastAsia="zh-CN"/>
        </w:rPr>
        <w:t>6-391-366号</w:t>
      </w:r>
    </w:p>
    <w:p w14:paraId="681C1D48">
      <w:pPr>
        <w:spacing w:line="360" w:lineRule="auto"/>
        <w:ind w:firstLine="627" w:firstLineChars="196"/>
        <w:rPr>
          <w:rFonts w:hint="eastAsia" w:ascii="宋体" w:hAnsi="宋体"/>
          <w:color w:val="auto"/>
          <w:sz w:val="32"/>
          <w:szCs w:val="32"/>
        </w:rPr>
      </w:pPr>
    </w:p>
    <w:p w14:paraId="3EA3686F">
      <w:pPr>
        <w:spacing w:line="360" w:lineRule="auto"/>
        <w:ind w:firstLine="627" w:firstLineChars="196"/>
        <w:rPr>
          <w:rFonts w:hint="eastAsia" w:ascii="宋体" w:hAnsi="宋体"/>
          <w:color w:val="auto"/>
          <w:sz w:val="32"/>
          <w:szCs w:val="32"/>
        </w:rPr>
      </w:pPr>
    </w:p>
    <w:p w14:paraId="59104C67">
      <w:pPr>
        <w:spacing w:line="360" w:lineRule="auto"/>
        <w:ind w:firstLine="627" w:firstLineChars="196"/>
        <w:rPr>
          <w:rFonts w:hint="eastAsia" w:ascii="宋体" w:hAnsi="宋体"/>
          <w:color w:val="auto"/>
          <w:sz w:val="32"/>
          <w:szCs w:val="32"/>
        </w:rPr>
      </w:pPr>
    </w:p>
    <w:p w14:paraId="35086CDF">
      <w:pPr>
        <w:spacing w:line="360" w:lineRule="auto"/>
        <w:ind w:firstLine="627" w:firstLineChars="196"/>
        <w:rPr>
          <w:rFonts w:hint="eastAsia" w:ascii="宋体" w:hAnsi="宋体"/>
          <w:color w:val="auto"/>
          <w:sz w:val="32"/>
          <w:szCs w:val="32"/>
        </w:rPr>
      </w:pPr>
    </w:p>
    <w:p w14:paraId="05F96570">
      <w:pPr>
        <w:pStyle w:val="36"/>
        <w:rPr>
          <w:rFonts w:hint="eastAsia" w:ascii="宋体" w:hAnsi="宋体"/>
          <w:color w:val="auto"/>
          <w:sz w:val="32"/>
          <w:szCs w:val="32"/>
        </w:rPr>
      </w:pPr>
    </w:p>
    <w:p w14:paraId="6BF13753">
      <w:pPr>
        <w:spacing w:line="1000" w:lineRule="exact"/>
        <w:ind w:firstLine="602" w:firstLineChars="200"/>
        <w:rPr>
          <w:rFonts w:hint="eastAsia" w:ascii="宋体" w:hAnsi="宋体" w:eastAsia="宋体"/>
          <w:b/>
          <w:color w:val="auto"/>
          <w:sz w:val="30"/>
          <w:szCs w:val="30"/>
          <w:lang w:eastAsia="zh-CN"/>
        </w:rPr>
      </w:pPr>
      <w:r>
        <w:rPr>
          <w:rFonts w:hint="eastAsia" w:ascii="宋体" w:hAnsi="宋体"/>
          <w:b/>
          <w:color w:val="auto"/>
          <w:sz w:val="30"/>
          <w:szCs w:val="30"/>
        </w:rPr>
        <w:t>采购人：</w:t>
      </w:r>
      <w:r>
        <w:rPr>
          <w:rFonts w:hint="eastAsia" w:hAnsi="宋体"/>
          <w:b/>
          <w:color w:val="auto"/>
          <w:sz w:val="30"/>
          <w:szCs w:val="30"/>
          <w:lang w:eastAsia="zh-CN"/>
        </w:rPr>
        <w:t>云南工业技师学院</w:t>
      </w:r>
    </w:p>
    <w:p w14:paraId="146863CB">
      <w:pPr>
        <w:spacing w:line="1000" w:lineRule="exact"/>
        <w:ind w:left="1027" w:leftChars="337" w:hanging="319" w:hangingChars="106"/>
        <w:rPr>
          <w:rFonts w:hint="eastAsia" w:ascii="宋体" w:hAnsi="宋体"/>
          <w:b/>
          <w:color w:val="auto"/>
          <w:sz w:val="30"/>
          <w:szCs w:val="30"/>
        </w:rPr>
      </w:pPr>
    </w:p>
    <w:p w14:paraId="384A9473">
      <w:pPr>
        <w:spacing w:line="1000" w:lineRule="exact"/>
        <w:ind w:left="1027" w:leftChars="337" w:hanging="319" w:hangingChars="106"/>
        <w:rPr>
          <w:rFonts w:hint="eastAsia" w:hAnsi="宋体"/>
          <w:b/>
          <w:color w:val="auto"/>
          <w:sz w:val="30"/>
          <w:szCs w:val="30"/>
          <w:lang w:eastAsia="zh-CN"/>
        </w:rPr>
      </w:pPr>
      <w:r>
        <w:rPr>
          <w:rFonts w:hint="eastAsia" w:ascii="宋体" w:hAnsi="宋体"/>
          <w:b/>
          <w:color w:val="auto"/>
          <w:sz w:val="30"/>
          <w:szCs w:val="30"/>
          <w:lang w:val="en-US" w:eastAsia="zh-CN"/>
        </w:rPr>
        <w:t>采购</w:t>
      </w:r>
      <w:r>
        <w:rPr>
          <w:rFonts w:hint="eastAsia" w:ascii="宋体" w:hAnsi="宋体"/>
          <w:b/>
          <w:color w:val="auto"/>
          <w:sz w:val="30"/>
          <w:szCs w:val="30"/>
        </w:rPr>
        <w:t>代理</w:t>
      </w:r>
      <w:r>
        <w:rPr>
          <w:rFonts w:hint="eastAsia" w:ascii="宋体" w:hAnsi="宋体"/>
          <w:b/>
          <w:color w:val="auto"/>
          <w:sz w:val="30"/>
          <w:szCs w:val="30"/>
          <w:lang w:val="en-US" w:eastAsia="zh-CN"/>
        </w:rPr>
        <w:t>机构</w:t>
      </w:r>
      <w:r>
        <w:rPr>
          <w:rFonts w:hint="eastAsia" w:ascii="宋体" w:hAnsi="宋体"/>
          <w:b/>
          <w:color w:val="auto"/>
          <w:sz w:val="30"/>
          <w:szCs w:val="30"/>
        </w:rPr>
        <w:t>：</w:t>
      </w:r>
      <w:r>
        <w:rPr>
          <w:rFonts w:hint="eastAsia" w:hAnsi="宋体"/>
          <w:b/>
          <w:color w:val="auto"/>
          <w:sz w:val="30"/>
          <w:szCs w:val="30"/>
          <w:lang w:eastAsia="zh-CN"/>
        </w:rPr>
        <w:t>云南荣腾工程管理咨询有限公司</w:t>
      </w:r>
    </w:p>
    <w:p w14:paraId="4BF381DA">
      <w:pPr>
        <w:pStyle w:val="36"/>
        <w:rPr>
          <w:rFonts w:hint="eastAsia" w:hAnsi="宋体"/>
          <w:b/>
          <w:color w:val="auto"/>
          <w:sz w:val="30"/>
          <w:szCs w:val="30"/>
          <w:lang w:eastAsia="zh-CN"/>
        </w:rPr>
      </w:pPr>
    </w:p>
    <w:p w14:paraId="54A2B51F">
      <w:pPr>
        <w:pStyle w:val="36"/>
        <w:rPr>
          <w:rFonts w:hint="eastAsia" w:hAnsi="宋体"/>
          <w:b/>
          <w:color w:val="auto"/>
          <w:sz w:val="30"/>
          <w:szCs w:val="30"/>
          <w:lang w:eastAsia="zh-CN"/>
        </w:rPr>
      </w:pPr>
    </w:p>
    <w:p w14:paraId="0E70FE83">
      <w:pPr>
        <w:pStyle w:val="36"/>
        <w:rPr>
          <w:rFonts w:hint="eastAsia" w:hAnsi="宋体"/>
          <w:b/>
          <w:color w:val="auto"/>
          <w:sz w:val="30"/>
          <w:szCs w:val="30"/>
          <w:lang w:eastAsia="zh-CN"/>
        </w:rPr>
      </w:pPr>
    </w:p>
    <w:p w14:paraId="39180822">
      <w:pPr>
        <w:pStyle w:val="36"/>
        <w:rPr>
          <w:rFonts w:hint="eastAsia" w:hAnsi="宋体"/>
          <w:b/>
          <w:color w:val="auto"/>
          <w:sz w:val="30"/>
          <w:szCs w:val="30"/>
          <w:lang w:eastAsia="zh-CN"/>
        </w:rPr>
      </w:pPr>
    </w:p>
    <w:p w14:paraId="34FE2DEE">
      <w:pPr>
        <w:pStyle w:val="36"/>
        <w:rPr>
          <w:rFonts w:hint="eastAsia" w:hAnsi="宋体"/>
          <w:b/>
          <w:color w:val="auto"/>
          <w:sz w:val="30"/>
          <w:szCs w:val="30"/>
          <w:lang w:eastAsia="zh-CN"/>
        </w:rPr>
      </w:pPr>
    </w:p>
    <w:p w14:paraId="22640271">
      <w:pPr>
        <w:pStyle w:val="36"/>
        <w:rPr>
          <w:rFonts w:hint="eastAsia" w:hAnsi="宋体"/>
          <w:b/>
          <w:color w:val="auto"/>
          <w:sz w:val="30"/>
          <w:szCs w:val="30"/>
          <w:lang w:eastAsia="zh-CN"/>
        </w:rPr>
      </w:pPr>
    </w:p>
    <w:p w14:paraId="0B017995">
      <w:pPr>
        <w:pStyle w:val="36"/>
        <w:rPr>
          <w:rFonts w:hint="eastAsia" w:hAnsi="宋体"/>
          <w:b/>
          <w:color w:val="auto"/>
          <w:sz w:val="30"/>
          <w:szCs w:val="30"/>
          <w:lang w:eastAsia="zh-CN"/>
        </w:rPr>
      </w:pPr>
    </w:p>
    <w:p w14:paraId="0AAAA89A">
      <w:pPr>
        <w:pStyle w:val="36"/>
        <w:rPr>
          <w:rFonts w:hint="eastAsia" w:hAnsi="宋体"/>
          <w:b/>
          <w:color w:val="auto"/>
          <w:sz w:val="30"/>
          <w:szCs w:val="30"/>
          <w:lang w:eastAsia="zh-CN"/>
        </w:rPr>
      </w:pPr>
    </w:p>
    <w:p w14:paraId="1FFBE54D">
      <w:pPr>
        <w:pStyle w:val="36"/>
        <w:rPr>
          <w:rFonts w:hint="eastAsia" w:hAnsi="宋体"/>
          <w:b/>
          <w:color w:val="auto"/>
          <w:sz w:val="30"/>
          <w:szCs w:val="30"/>
          <w:lang w:eastAsia="zh-CN"/>
        </w:rPr>
      </w:pPr>
    </w:p>
    <w:p w14:paraId="46D0D152">
      <w:pPr>
        <w:pStyle w:val="36"/>
        <w:rPr>
          <w:rFonts w:hint="eastAsia" w:hAnsi="宋体"/>
          <w:b/>
          <w:color w:val="auto"/>
          <w:sz w:val="30"/>
          <w:szCs w:val="30"/>
          <w:lang w:eastAsia="zh-CN"/>
        </w:rPr>
      </w:pPr>
    </w:p>
    <w:p w14:paraId="5B646992">
      <w:pPr>
        <w:pStyle w:val="36"/>
        <w:rPr>
          <w:rFonts w:hint="eastAsia" w:hAnsi="宋体"/>
          <w:b/>
          <w:color w:val="auto"/>
          <w:sz w:val="30"/>
          <w:szCs w:val="30"/>
          <w:lang w:eastAsia="zh-CN"/>
        </w:rPr>
      </w:pPr>
    </w:p>
    <w:p w14:paraId="3FEA86CF">
      <w:pPr>
        <w:pStyle w:val="36"/>
        <w:rPr>
          <w:rFonts w:hint="eastAsia" w:hAnsi="宋体"/>
          <w:b/>
          <w:color w:val="auto"/>
          <w:sz w:val="30"/>
          <w:szCs w:val="30"/>
          <w:lang w:eastAsia="zh-CN"/>
        </w:rPr>
      </w:pPr>
    </w:p>
    <w:p w14:paraId="686AA44E">
      <w:pPr>
        <w:pStyle w:val="36"/>
        <w:rPr>
          <w:rFonts w:hint="eastAsia" w:hAnsi="宋体"/>
          <w:b/>
          <w:color w:val="auto"/>
          <w:sz w:val="30"/>
          <w:szCs w:val="30"/>
          <w:lang w:eastAsia="zh-CN"/>
        </w:rPr>
      </w:pPr>
    </w:p>
    <w:p w14:paraId="51560992">
      <w:pPr>
        <w:pStyle w:val="36"/>
        <w:rPr>
          <w:rFonts w:hint="eastAsia" w:hAnsi="宋体"/>
          <w:b/>
          <w:color w:val="auto"/>
          <w:sz w:val="30"/>
          <w:szCs w:val="30"/>
          <w:lang w:eastAsia="zh-CN"/>
        </w:rPr>
      </w:pPr>
    </w:p>
    <w:p w14:paraId="787063C8">
      <w:pPr>
        <w:pStyle w:val="36"/>
        <w:rPr>
          <w:rFonts w:hint="eastAsia" w:hAnsi="宋体"/>
          <w:b/>
          <w:color w:val="auto"/>
          <w:sz w:val="30"/>
          <w:szCs w:val="30"/>
          <w:lang w:eastAsia="zh-CN"/>
        </w:rPr>
      </w:pPr>
    </w:p>
    <w:p w14:paraId="1DEF7491">
      <w:pPr>
        <w:pStyle w:val="36"/>
        <w:rPr>
          <w:rFonts w:hint="eastAsia" w:hAnsi="宋体"/>
          <w:b/>
          <w:color w:val="auto"/>
          <w:sz w:val="30"/>
          <w:szCs w:val="30"/>
          <w:lang w:eastAsia="zh-CN"/>
        </w:rPr>
      </w:pPr>
    </w:p>
    <w:p w14:paraId="75081723">
      <w:pPr>
        <w:pStyle w:val="36"/>
        <w:rPr>
          <w:rFonts w:hint="eastAsia" w:hAnsi="宋体"/>
          <w:b/>
          <w:color w:val="auto"/>
          <w:sz w:val="30"/>
          <w:szCs w:val="30"/>
          <w:lang w:eastAsia="zh-CN"/>
        </w:rPr>
      </w:pPr>
    </w:p>
    <w:p w14:paraId="097E9696">
      <w:pPr>
        <w:pStyle w:val="36"/>
        <w:rPr>
          <w:rFonts w:hint="eastAsia" w:hAnsi="宋体"/>
          <w:b/>
          <w:color w:val="auto"/>
          <w:sz w:val="30"/>
          <w:szCs w:val="30"/>
          <w:lang w:eastAsia="zh-CN"/>
        </w:rPr>
      </w:pPr>
    </w:p>
    <w:p w14:paraId="388F4104">
      <w:pPr>
        <w:pStyle w:val="36"/>
        <w:rPr>
          <w:rFonts w:hint="eastAsia" w:hAnsi="宋体"/>
          <w:b/>
          <w:color w:val="auto"/>
          <w:sz w:val="30"/>
          <w:szCs w:val="30"/>
          <w:lang w:eastAsia="zh-CN"/>
        </w:rPr>
      </w:pPr>
    </w:p>
    <w:p w14:paraId="4958F17F">
      <w:pPr>
        <w:pStyle w:val="36"/>
        <w:rPr>
          <w:rFonts w:hint="eastAsia" w:hAnsi="宋体"/>
          <w:b/>
          <w:color w:val="auto"/>
          <w:sz w:val="30"/>
          <w:szCs w:val="30"/>
          <w:lang w:eastAsia="zh-CN"/>
        </w:rPr>
      </w:pPr>
    </w:p>
    <w:p w14:paraId="3938AE15">
      <w:pPr>
        <w:pStyle w:val="36"/>
        <w:rPr>
          <w:rFonts w:hint="eastAsia" w:hAnsi="宋体"/>
          <w:b/>
          <w:color w:val="auto"/>
          <w:sz w:val="30"/>
          <w:szCs w:val="30"/>
          <w:lang w:eastAsia="zh-CN"/>
        </w:rPr>
      </w:pPr>
    </w:p>
    <w:p w14:paraId="1A738177">
      <w:pPr>
        <w:pStyle w:val="36"/>
        <w:rPr>
          <w:rFonts w:hint="eastAsia" w:hAnsi="宋体"/>
          <w:b/>
          <w:color w:val="auto"/>
          <w:sz w:val="30"/>
          <w:szCs w:val="30"/>
          <w:lang w:eastAsia="zh-CN"/>
        </w:rPr>
      </w:pPr>
    </w:p>
    <w:p w14:paraId="3AD26B20">
      <w:pPr>
        <w:pStyle w:val="36"/>
        <w:rPr>
          <w:rFonts w:hint="eastAsia" w:hAnsi="宋体"/>
          <w:b/>
          <w:color w:val="auto"/>
          <w:sz w:val="30"/>
          <w:szCs w:val="30"/>
          <w:lang w:eastAsia="zh-CN"/>
        </w:rPr>
      </w:pPr>
    </w:p>
    <w:p w14:paraId="25938CD8">
      <w:pPr>
        <w:spacing w:line="360" w:lineRule="auto"/>
        <w:jc w:val="center"/>
        <w:rPr>
          <w:color w:val="auto"/>
          <w:sz w:val="24"/>
        </w:rPr>
      </w:pPr>
      <w:r>
        <w:rPr>
          <w:rFonts w:ascii="宋体" w:hAnsi="宋体"/>
          <w:color w:val="auto"/>
          <w:sz w:val="24"/>
        </w:rPr>
        <w:t>目录</w:t>
      </w:r>
    </w:p>
    <w:p w14:paraId="3AA3207B">
      <w:pPr>
        <w:pStyle w:val="16"/>
        <w:tabs>
          <w:tab w:val="right" w:leader="dot" w:pos="8306"/>
        </w:tabs>
        <w:spacing w:line="360" w:lineRule="auto"/>
        <w:rPr>
          <w:color w:val="auto"/>
          <w:sz w:val="24"/>
        </w:rPr>
      </w:pPr>
      <w:r>
        <w:rPr>
          <w:rFonts w:hint="eastAsia" w:ascii="宋体" w:hAnsi="宋体"/>
          <w:color w:val="auto"/>
          <w:sz w:val="24"/>
        </w:rPr>
        <w:fldChar w:fldCharType="begin"/>
      </w:r>
      <w:r>
        <w:rPr>
          <w:rFonts w:hint="eastAsia" w:ascii="宋体" w:hAnsi="宋体"/>
          <w:color w:val="auto"/>
          <w:sz w:val="24"/>
        </w:rPr>
        <w:instrText xml:space="preserve">TOC \o "1-1" \h \u </w:instrText>
      </w:r>
      <w:r>
        <w:rPr>
          <w:rFonts w:hint="eastAsia" w:ascii="宋体" w:hAnsi="宋体"/>
          <w:color w:val="auto"/>
          <w:sz w:val="24"/>
        </w:rPr>
        <w:fldChar w:fldCharType="separate"/>
      </w:r>
      <w:r>
        <w:rPr>
          <w:rFonts w:hint="eastAsia" w:ascii="宋体" w:hAnsi="宋体"/>
          <w:color w:val="auto"/>
          <w:sz w:val="24"/>
        </w:rPr>
        <w:fldChar w:fldCharType="begin"/>
      </w:r>
      <w:r>
        <w:rPr>
          <w:rFonts w:hint="eastAsia" w:ascii="宋体" w:hAnsi="宋体"/>
          <w:color w:val="auto"/>
          <w:sz w:val="24"/>
        </w:rPr>
        <w:instrText xml:space="preserve"> HYPERLINK \l _Toc16480 </w:instrText>
      </w:r>
      <w:r>
        <w:rPr>
          <w:rFonts w:hint="eastAsia" w:ascii="宋体" w:hAnsi="宋体"/>
          <w:color w:val="auto"/>
          <w:sz w:val="24"/>
        </w:rPr>
        <w:fldChar w:fldCharType="separate"/>
      </w:r>
      <w:r>
        <w:rPr>
          <w:rFonts w:hint="eastAsia" w:ascii="宋体" w:hAnsi="宋体" w:cs="宋体"/>
          <w:color w:val="auto"/>
          <w:kern w:val="0"/>
          <w:sz w:val="24"/>
        </w:rPr>
        <w:t xml:space="preserve">第一章   </w:t>
      </w:r>
      <w:r>
        <w:rPr>
          <w:rFonts w:ascii="宋体" w:hAnsi="宋体" w:cs="宋体"/>
          <w:color w:val="auto"/>
          <w:kern w:val="0"/>
          <w:sz w:val="24"/>
        </w:rPr>
        <w:t>采购</w:t>
      </w:r>
      <w:r>
        <w:rPr>
          <w:rFonts w:hint="eastAsia" w:ascii="宋体" w:hAnsi="宋体" w:cs="宋体"/>
          <w:color w:val="auto"/>
          <w:kern w:val="0"/>
          <w:sz w:val="24"/>
        </w:rPr>
        <w:t>公开招标公告</w:t>
      </w:r>
      <w:r>
        <w:rPr>
          <w:color w:val="auto"/>
          <w:sz w:val="24"/>
        </w:rPr>
        <w:tab/>
      </w:r>
      <w:r>
        <w:rPr>
          <w:color w:val="auto"/>
          <w:sz w:val="24"/>
        </w:rPr>
        <w:fldChar w:fldCharType="begin"/>
      </w:r>
      <w:r>
        <w:rPr>
          <w:color w:val="auto"/>
          <w:sz w:val="24"/>
        </w:rPr>
        <w:instrText xml:space="preserve"> PAGEREF _Toc16480 </w:instrText>
      </w:r>
      <w:r>
        <w:rPr>
          <w:color w:val="auto"/>
          <w:sz w:val="24"/>
        </w:rPr>
        <w:fldChar w:fldCharType="separate"/>
      </w:r>
      <w:r>
        <w:rPr>
          <w:color w:val="auto"/>
          <w:sz w:val="24"/>
        </w:rPr>
        <w:t>4</w:t>
      </w:r>
      <w:r>
        <w:rPr>
          <w:color w:val="auto"/>
          <w:sz w:val="24"/>
        </w:rPr>
        <w:fldChar w:fldCharType="end"/>
      </w:r>
      <w:r>
        <w:rPr>
          <w:rFonts w:hint="eastAsia" w:ascii="宋体" w:hAnsi="宋体"/>
          <w:color w:val="auto"/>
          <w:sz w:val="24"/>
        </w:rPr>
        <w:fldChar w:fldCharType="end"/>
      </w:r>
    </w:p>
    <w:p w14:paraId="1EEBDDF2">
      <w:pPr>
        <w:pStyle w:val="16"/>
        <w:tabs>
          <w:tab w:val="right" w:leader="dot" w:pos="8306"/>
        </w:tabs>
        <w:spacing w:line="360" w:lineRule="auto"/>
        <w:rPr>
          <w:color w:val="auto"/>
          <w:sz w:val="24"/>
        </w:rPr>
      </w:pPr>
      <w:r>
        <w:rPr>
          <w:rFonts w:hint="eastAsia" w:ascii="宋体" w:hAnsi="宋体"/>
          <w:color w:val="auto"/>
          <w:sz w:val="24"/>
        </w:rPr>
        <w:fldChar w:fldCharType="begin"/>
      </w:r>
      <w:r>
        <w:rPr>
          <w:rFonts w:hint="eastAsia" w:ascii="宋体" w:hAnsi="宋体"/>
          <w:color w:val="auto"/>
          <w:sz w:val="24"/>
        </w:rPr>
        <w:instrText xml:space="preserve"> HYPERLINK \l _Toc14527 </w:instrText>
      </w:r>
      <w:r>
        <w:rPr>
          <w:rFonts w:hint="eastAsia" w:ascii="宋体" w:hAnsi="宋体"/>
          <w:color w:val="auto"/>
          <w:sz w:val="24"/>
        </w:rPr>
        <w:fldChar w:fldCharType="separate"/>
      </w:r>
      <w:r>
        <w:rPr>
          <w:rFonts w:hint="eastAsia" w:ascii="宋体" w:hAnsi="宋体" w:cs="宋体"/>
          <w:bCs/>
          <w:color w:val="auto"/>
          <w:kern w:val="0"/>
          <w:sz w:val="24"/>
        </w:rPr>
        <w:t xml:space="preserve">第二章   </w:t>
      </w:r>
      <w:r>
        <w:rPr>
          <w:rFonts w:hint="eastAsia" w:ascii="宋体" w:hAnsi="宋体"/>
          <w:color w:val="auto"/>
          <w:sz w:val="24"/>
        </w:rPr>
        <w:t>投标须知前附表及投标须知</w:t>
      </w:r>
      <w:r>
        <w:rPr>
          <w:color w:val="auto"/>
          <w:sz w:val="24"/>
        </w:rPr>
        <w:tab/>
      </w:r>
      <w:r>
        <w:rPr>
          <w:rFonts w:hint="eastAsia"/>
          <w:color w:val="auto"/>
          <w:sz w:val="24"/>
          <w:lang w:val="en-US" w:eastAsia="zh-CN"/>
        </w:rPr>
        <w:t>8</w:t>
      </w:r>
      <w:r>
        <w:rPr>
          <w:rFonts w:hint="eastAsia" w:ascii="宋体" w:hAnsi="宋体"/>
          <w:color w:val="auto"/>
          <w:sz w:val="24"/>
        </w:rPr>
        <w:fldChar w:fldCharType="end"/>
      </w:r>
    </w:p>
    <w:p w14:paraId="6D8CDABF">
      <w:pPr>
        <w:pStyle w:val="16"/>
        <w:tabs>
          <w:tab w:val="right" w:leader="dot" w:pos="8306"/>
        </w:tabs>
        <w:spacing w:line="360" w:lineRule="auto"/>
        <w:rPr>
          <w:rFonts w:hint="eastAsia" w:eastAsia="宋体"/>
          <w:color w:val="auto"/>
          <w:sz w:val="24"/>
          <w:lang w:val="en-US" w:eastAsia="zh-CN"/>
        </w:rPr>
      </w:pPr>
      <w:r>
        <w:rPr>
          <w:rFonts w:hint="eastAsia" w:ascii="宋体" w:hAnsi="宋体"/>
          <w:color w:val="auto"/>
          <w:sz w:val="24"/>
        </w:rPr>
        <w:fldChar w:fldCharType="begin"/>
      </w:r>
      <w:r>
        <w:rPr>
          <w:rFonts w:hint="eastAsia" w:ascii="宋体" w:hAnsi="宋体"/>
          <w:color w:val="auto"/>
          <w:sz w:val="24"/>
        </w:rPr>
        <w:instrText xml:space="preserve"> HYPERLINK \l _Toc8385 </w:instrText>
      </w:r>
      <w:r>
        <w:rPr>
          <w:rFonts w:hint="eastAsia" w:ascii="宋体" w:hAnsi="宋体"/>
          <w:color w:val="auto"/>
          <w:sz w:val="24"/>
        </w:rPr>
        <w:fldChar w:fldCharType="separate"/>
      </w:r>
      <w:r>
        <w:rPr>
          <w:rFonts w:hint="eastAsia" w:ascii="宋体" w:hAnsi="宋体" w:cs="宋体"/>
          <w:bCs/>
          <w:color w:val="auto"/>
          <w:kern w:val="0"/>
          <w:sz w:val="24"/>
        </w:rPr>
        <w:t>第三章 评标办法</w:t>
      </w:r>
      <w:r>
        <w:rPr>
          <w:color w:val="auto"/>
          <w:sz w:val="24"/>
        </w:rPr>
        <w:tab/>
      </w:r>
      <w:r>
        <w:rPr>
          <w:rFonts w:hint="eastAsia"/>
          <w:color w:val="auto"/>
          <w:sz w:val="24"/>
          <w:lang w:val="en-US" w:eastAsia="zh-CN"/>
        </w:rPr>
        <w:t>2</w:t>
      </w:r>
      <w:r>
        <w:rPr>
          <w:rFonts w:hint="eastAsia" w:ascii="宋体" w:hAnsi="宋体"/>
          <w:color w:val="auto"/>
          <w:sz w:val="24"/>
        </w:rPr>
        <w:fldChar w:fldCharType="end"/>
      </w:r>
      <w:r>
        <w:rPr>
          <w:rFonts w:hint="eastAsia" w:ascii="宋体" w:hAnsi="宋体"/>
          <w:color w:val="auto"/>
          <w:sz w:val="24"/>
          <w:lang w:val="en-US" w:eastAsia="zh-CN"/>
        </w:rPr>
        <w:t>4</w:t>
      </w:r>
    </w:p>
    <w:p w14:paraId="19B54214">
      <w:pPr>
        <w:pStyle w:val="16"/>
        <w:tabs>
          <w:tab w:val="right" w:leader="dot" w:pos="8306"/>
        </w:tabs>
        <w:spacing w:line="360" w:lineRule="auto"/>
        <w:rPr>
          <w:color w:val="auto"/>
          <w:sz w:val="24"/>
        </w:rPr>
      </w:pPr>
      <w:r>
        <w:rPr>
          <w:rFonts w:hint="eastAsia" w:ascii="宋体" w:hAnsi="宋体"/>
          <w:color w:val="auto"/>
          <w:sz w:val="24"/>
        </w:rPr>
        <w:fldChar w:fldCharType="begin"/>
      </w:r>
      <w:r>
        <w:rPr>
          <w:rFonts w:hint="eastAsia" w:ascii="宋体" w:hAnsi="宋体"/>
          <w:color w:val="auto"/>
          <w:sz w:val="24"/>
        </w:rPr>
        <w:instrText xml:space="preserve"> HYPERLINK \l _Toc21792 </w:instrText>
      </w:r>
      <w:r>
        <w:rPr>
          <w:rFonts w:hint="eastAsia" w:ascii="宋体" w:hAnsi="宋体"/>
          <w:color w:val="auto"/>
          <w:sz w:val="24"/>
        </w:rPr>
        <w:fldChar w:fldCharType="separate"/>
      </w:r>
      <w:r>
        <w:rPr>
          <w:rFonts w:hint="eastAsia" w:ascii="宋体" w:hAnsi="宋体" w:cs="宋体"/>
          <w:bCs/>
          <w:color w:val="auto"/>
          <w:kern w:val="0"/>
          <w:sz w:val="24"/>
        </w:rPr>
        <w:t xml:space="preserve">第四章  </w:t>
      </w:r>
      <w:r>
        <w:rPr>
          <w:rFonts w:hint="eastAsia" w:ascii="宋体" w:hAnsi="宋体" w:eastAsia="宋体" w:cs="宋体"/>
          <w:bCs/>
          <w:color w:val="auto"/>
          <w:kern w:val="0"/>
          <w:sz w:val="24"/>
        </w:rPr>
        <w:t>采购清单及技术参数</w:t>
      </w:r>
      <w:r>
        <w:rPr>
          <w:color w:val="auto"/>
          <w:sz w:val="24"/>
        </w:rPr>
        <w:tab/>
      </w:r>
      <w:r>
        <w:rPr>
          <w:color w:val="auto"/>
          <w:sz w:val="24"/>
        </w:rPr>
        <w:fldChar w:fldCharType="begin"/>
      </w:r>
      <w:r>
        <w:rPr>
          <w:color w:val="auto"/>
          <w:sz w:val="24"/>
        </w:rPr>
        <w:instrText xml:space="preserve"> PAGEREF _Toc21792 </w:instrText>
      </w:r>
      <w:r>
        <w:rPr>
          <w:color w:val="auto"/>
          <w:sz w:val="24"/>
        </w:rPr>
        <w:fldChar w:fldCharType="separate"/>
      </w:r>
      <w:r>
        <w:rPr>
          <w:color w:val="auto"/>
          <w:sz w:val="24"/>
        </w:rPr>
        <w:t>47</w:t>
      </w:r>
      <w:r>
        <w:rPr>
          <w:color w:val="auto"/>
          <w:sz w:val="24"/>
        </w:rPr>
        <w:fldChar w:fldCharType="end"/>
      </w:r>
      <w:r>
        <w:rPr>
          <w:rFonts w:hint="eastAsia" w:ascii="宋体" w:hAnsi="宋体"/>
          <w:color w:val="auto"/>
          <w:sz w:val="24"/>
        </w:rPr>
        <w:fldChar w:fldCharType="end"/>
      </w:r>
    </w:p>
    <w:p w14:paraId="2B06CD53">
      <w:pPr>
        <w:pStyle w:val="16"/>
        <w:tabs>
          <w:tab w:val="right" w:leader="dot" w:pos="8306"/>
        </w:tabs>
        <w:spacing w:line="360" w:lineRule="auto"/>
        <w:rPr>
          <w:color w:val="auto"/>
          <w:sz w:val="24"/>
        </w:rPr>
      </w:pPr>
      <w:r>
        <w:rPr>
          <w:rFonts w:hint="eastAsia" w:ascii="宋体" w:hAnsi="宋体"/>
          <w:color w:val="auto"/>
          <w:sz w:val="24"/>
        </w:rPr>
        <w:fldChar w:fldCharType="begin"/>
      </w:r>
      <w:r>
        <w:rPr>
          <w:rFonts w:hint="eastAsia" w:ascii="宋体" w:hAnsi="宋体"/>
          <w:color w:val="auto"/>
          <w:sz w:val="24"/>
        </w:rPr>
        <w:instrText xml:space="preserve"> HYPERLINK \l _Toc21023 </w:instrText>
      </w:r>
      <w:r>
        <w:rPr>
          <w:rFonts w:hint="eastAsia" w:ascii="宋体" w:hAnsi="宋体"/>
          <w:color w:val="auto"/>
          <w:sz w:val="24"/>
        </w:rPr>
        <w:fldChar w:fldCharType="separate"/>
      </w:r>
      <w:r>
        <w:rPr>
          <w:rFonts w:hint="eastAsia" w:ascii="宋体" w:hAnsi="宋体" w:cs="宋体"/>
          <w:bCs/>
          <w:color w:val="auto"/>
          <w:kern w:val="0"/>
          <w:sz w:val="24"/>
        </w:rPr>
        <w:t>第五章  政府采购合同（参考文本，以双方实际签订合同为准）</w:t>
      </w:r>
      <w:r>
        <w:rPr>
          <w:color w:val="auto"/>
          <w:sz w:val="24"/>
        </w:rPr>
        <w:tab/>
      </w:r>
      <w:r>
        <w:rPr>
          <w:color w:val="auto"/>
          <w:sz w:val="24"/>
        </w:rPr>
        <w:fldChar w:fldCharType="begin"/>
      </w:r>
      <w:r>
        <w:rPr>
          <w:color w:val="auto"/>
          <w:sz w:val="24"/>
        </w:rPr>
        <w:instrText xml:space="preserve"> PAGEREF _Toc21023 </w:instrText>
      </w:r>
      <w:r>
        <w:rPr>
          <w:color w:val="auto"/>
          <w:sz w:val="24"/>
        </w:rPr>
        <w:fldChar w:fldCharType="separate"/>
      </w:r>
      <w:r>
        <w:rPr>
          <w:color w:val="auto"/>
          <w:sz w:val="24"/>
        </w:rPr>
        <w:t>47</w:t>
      </w:r>
      <w:r>
        <w:rPr>
          <w:color w:val="auto"/>
          <w:sz w:val="24"/>
        </w:rPr>
        <w:fldChar w:fldCharType="end"/>
      </w:r>
      <w:r>
        <w:rPr>
          <w:rFonts w:hint="eastAsia" w:ascii="宋体" w:hAnsi="宋体"/>
          <w:color w:val="auto"/>
          <w:sz w:val="24"/>
        </w:rPr>
        <w:fldChar w:fldCharType="end"/>
      </w:r>
    </w:p>
    <w:p w14:paraId="66CC6331">
      <w:pPr>
        <w:pStyle w:val="16"/>
        <w:tabs>
          <w:tab w:val="right" w:leader="dot" w:pos="8306"/>
        </w:tabs>
        <w:spacing w:line="360" w:lineRule="auto"/>
        <w:rPr>
          <w:rFonts w:hint="eastAsia" w:eastAsia="宋体"/>
          <w:color w:val="auto"/>
          <w:sz w:val="24"/>
          <w:lang w:val="en-US" w:eastAsia="zh-CN"/>
        </w:rPr>
      </w:pPr>
      <w:r>
        <w:rPr>
          <w:rFonts w:hint="eastAsia" w:ascii="宋体" w:hAnsi="宋体"/>
          <w:color w:val="auto"/>
          <w:sz w:val="24"/>
        </w:rPr>
        <w:fldChar w:fldCharType="begin"/>
      </w:r>
      <w:r>
        <w:rPr>
          <w:rFonts w:hint="eastAsia" w:ascii="宋体" w:hAnsi="宋体"/>
          <w:color w:val="auto"/>
          <w:sz w:val="24"/>
        </w:rPr>
        <w:instrText xml:space="preserve"> HYPERLINK \l _Toc5240 </w:instrText>
      </w:r>
      <w:r>
        <w:rPr>
          <w:rFonts w:hint="eastAsia" w:ascii="宋体" w:hAnsi="宋体"/>
          <w:color w:val="auto"/>
          <w:sz w:val="24"/>
        </w:rPr>
        <w:fldChar w:fldCharType="separate"/>
      </w:r>
      <w:r>
        <w:rPr>
          <w:rFonts w:hint="eastAsia" w:ascii="宋体" w:hAnsi="宋体" w:cs="宋体"/>
          <w:bCs/>
          <w:color w:val="auto"/>
          <w:kern w:val="0"/>
          <w:sz w:val="24"/>
        </w:rPr>
        <w:t>第六章  投标文件格式</w:t>
      </w:r>
      <w:r>
        <w:rPr>
          <w:color w:val="auto"/>
          <w:sz w:val="24"/>
        </w:rPr>
        <w:tab/>
      </w:r>
      <w:r>
        <w:rPr>
          <w:rFonts w:hint="eastAsia"/>
          <w:color w:val="auto"/>
          <w:sz w:val="24"/>
          <w:lang w:val="en-US" w:eastAsia="zh-CN"/>
        </w:rPr>
        <w:t>4</w:t>
      </w:r>
      <w:r>
        <w:rPr>
          <w:rFonts w:hint="eastAsia" w:ascii="宋体" w:hAnsi="宋体"/>
          <w:color w:val="auto"/>
          <w:sz w:val="24"/>
        </w:rPr>
        <w:fldChar w:fldCharType="end"/>
      </w:r>
      <w:r>
        <w:rPr>
          <w:rFonts w:hint="eastAsia" w:ascii="宋体" w:hAnsi="宋体"/>
          <w:color w:val="auto"/>
          <w:sz w:val="24"/>
          <w:lang w:val="en-US" w:eastAsia="zh-CN"/>
        </w:rPr>
        <w:t>8</w:t>
      </w:r>
    </w:p>
    <w:p w14:paraId="1ED6B906">
      <w:pPr>
        <w:snapToGrid w:val="0"/>
        <w:spacing w:line="360" w:lineRule="auto"/>
        <w:jc w:val="center"/>
        <w:rPr>
          <w:rFonts w:hint="eastAsia" w:ascii="宋体" w:hAnsi="宋体"/>
          <w:color w:val="auto"/>
          <w:sz w:val="44"/>
        </w:rPr>
      </w:pPr>
      <w:r>
        <w:rPr>
          <w:rFonts w:hint="eastAsia" w:ascii="宋体" w:hAnsi="宋体"/>
          <w:color w:val="auto"/>
          <w:sz w:val="24"/>
        </w:rPr>
        <w:fldChar w:fldCharType="end"/>
      </w:r>
    </w:p>
    <w:p w14:paraId="5D0921C3">
      <w:pPr>
        <w:widowControl/>
        <w:spacing w:before="260" w:after="260" w:line="240" w:lineRule="atLeast"/>
        <w:jc w:val="center"/>
        <w:rPr>
          <w:rFonts w:ascii="宋体" w:hAnsi="宋体" w:cs="宋体"/>
          <w:b/>
          <w:bCs/>
          <w:color w:val="auto"/>
          <w:kern w:val="0"/>
          <w:sz w:val="30"/>
          <w:szCs w:val="30"/>
        </w:rPr>
      </w:pPr>
    </w:p>
    <w:p w14:paraId="054A9DDF">
      <w:pPr>
        <w:widowControl/>
        <w:spacing w:before="260" w:after="260" w:line="240" w:lineRule="atLeast"/>
        <w:jc w:val="center"/>
        <w:rPr>
          <w:rFonts w:ascii="宋体" w:hAnsi="宋体" w:cs="宋体"/>
          <w:b/>
          <w:bCs/>
          <w:color w:val="auto"/>
          <w:kern w:val="0"/>
          <w:sz w:val="30"/>
          <w:szCs w:val="30"/>
        </w:rPr>
      </w:pPr>
    </w:p>
    <w:p w14:paraId="10F4D786">
      <w:pPr>
        <w:widowControl/>
        <w:spacing w:before="260" w:after="260" w:line="240" w:lineRule="atLeast"/>
        <w:jc w:val="center"/>
        <w:rPr>
          <w:rFonts w:ascii="宋体" w:hAnsi="宋体" w:cs="宋体"/>
          <w:b/>
          <w:bCs/>
          <w:color w:val="auto"/>
          <w:kern w:val="0"/>
          <w:sz w:val="30"/>
          <w:szCs w:val="30"/>
        </w:rPr>
      </w:pPr>
    </w:p>
    <w:p w14:paraId="3783EE3D">
      <w:pPr>
        <w:widowControl/>
        <w:spacing w:before="260" w:after="260" w:line="240" w:lineRule="atLeast"/>
        <w:jc w:val="center"/>
        <w:rPr>
          <w:rFonts w:ascii="宋体" w:hAnsi="宋体" w:cs="宋体"/>
          <w:b/>
          <w:bCs/>
          <w:color w:val="auto"/>
          <w:kern w:val="0"/>
          <w:sz w:val="30"/>
          <w:szCs w:val="30"/>
        </w:rPr>
      </w:pPr>
    </w:p>
    <w:p w14:paraId="4744C5F5">
      <w:pPr>
        <w:widowControl/>
        <w:spacing w:before="260" w:after="260" w:line="240" w:lineRule="atLeast"/>
        <w:jc w:val="center"/>
        <w:rPr>
          <w:rFonts w:ascii="宋体" w:hAnsi="宋体" w:cs="宋体"/>
          <w:b/>
          <w:bCs/>
          <w:color w:val="auto"/>
          <w:kern w:val="0"/>
          <w:sz w:val="30"/>
          <w:szCs w:val="30"/>
        </w:rPr>
      </w:pPr>
    </w:p>
    <w:p w14:paraId="2E5243C2">
      <w:pPr>
        <w:pStyle w:val="36"/>
        <w:rPr>
          <w:rFonts w:ascii="宋体" w:hAnsi="宋体" w:cs="宋体"/>
          <w:b/>
          <w:bCs/>
          <w:color w:val="auto"/>
          <w:kern w:val="0"/>
          <w:sz w:val="30"/>
          <w:szCs w:val="30"/>
        </w:rPr>
      </w:pPr>
    </w:p>
    <w:p w14:paraId="6DB94B35">
      <w:pPr>
        <w:pStyle w:val="36"/>
        <w:rPr>
          <w:rFonts w:ascii="宋体" w:hAnsi="宋体" w:cs="宋体"/>
          <w:b/>
          <w:bCs/>
          <w:color w:val="auto"/>
          <w:kern w:val="0"/>
          <w:sz w:val="30"/>
          <w:szCs w:val="30"/>
        </w:rPr>
      </w:pPr>
    </w:p>
    <w:p w14:paraId="1F45DF5F">
      <w:pPr>
        <w:pStyle w:val="36"/>
        <w:rPr>
          <w:rFonts w:ascii="宋体" w:hAnsi="宋体" w:cs="宋体"/>
          <w:b/>
          <w:bCs/>
          <w:color w:val="auto"/>
          <w:kern w:val="0"/>
          <w:sz w:val="30"/>
          <w:szCs w:val="30"/>
        </w:rPr>
      </w:pPr>
    </w:p>
    <w:p w14:paraId="455787C0">
      <w:pPr>
        <w:pStyle w:val="36"/>
        <w:rPr>
          <w:rFonts w:ascii="宋体" w:hAnsi="宋体" w:cs="宋体"/>
          <w:b/>
          <w:bCs/>
          <w:color w:val="auto"/>
          <w:kern w:val="0"/>
          <w:sz w:val="30"/>
          <w:szCs w:val="30"/>
        </w:rPr>
      </w:pPr>
    </w:p>
    <w:p w14:paraId="16AF345B">
      <w:pPr>
        <w:pStyle w:val="36"/>
        <w:rPr>
          <w:rFonts w:ascii="宋体" w:hAnsi="宋体" w:cs="宋体"/>
          <w:b/>
          <w:bCs/>
          <w:color w:val="auto"/>
          <w:kern w:val="0"/>
          <w:sz w:val="30"/>
          <w:szCs w:val="30"/>
        </w:rPr>
      </w:pPr>
    </w:p>
    <w:p w14:paraId="69AF9388">
      <w:pPr>
        <w:pStyle w:val="36"/>
        <w:rPr>
          <w:rFonts w:ascii="宋体" w:hAnsi="宋体" w:cs="宋体"/>
          <w:b/>
          <w:bCs/>
          <w:color w:val="auto"/>
          <w:kern w:val="0"/>
          <w:sz w:val="30"/>
          <w:szCs w:val="30"/>
        </w:rPr>
      </w:pPr>
    </w:p>
    <w:p w14:paraId="0E93F73C">
      <w:pPr>
        <w:widowControl/>
        <w:spacing w:before="260" w:after="260" w:line="240" w:lineRule="atLeast"/>
        <w:jc w:val="center"/>
        <w:rPr>
          <w:rFonts w:ascii="宋体" w:hAnsi="宋体" w:cs="宋体"/>
          <w:b/>
          <w:bCs/>
          <w:color w:val="auto"/>
          <w:kern w:val="0"/>
          <w:sz w:val="30"/>
          <w:szCs w:val="30"/>
        </w:rPr>
      </w:pPr>
    </w:p>
    <w:p w14:paraId="4A8E09A4">
      <w:pPr>
        <w:widowControl/>
        <w:spacing w:line="460" w:lineRule="exact"/>
        <w:jc w:val="center"/>
        <w:outlineLvl w:val="0"/>
        <w:rPr>
          <w:rFonts w:hint="eastAsia" w:ascii="宋体" w:hAnsi="宋体" w:cs="宋体"/>
          <w:b/>
          <w:color w:val="auto"/>
          <w:kern w:val="0"/>
          <w:sz w:val="28"/>
          <w:szCs w:val="28"/>
        </w:rPr>
      </w:pPr>
      <w:bookmarkStart w:id="0" w:name="_Toc16480"/>
      <w:r>
        <w:rPr>
          <w:rFonts w:hint="eastAsia" w:ascii="宋体" w:hAnsi="宋体" w:cs="宋体"/>
          <w:b/>
          <w:color w:val="auto"/>
          <w:kern w:val="0"/>
          <w:sz w:val="28"/>
          <w:szCs w:val="28"/>
        </w:rPr>
        <w:t xml:space="preserve">第一章   </w:t>
      </w:r>
      <w:r>
        <w:rPr>
          <w:rFonts w:ascii="宋体" w:hAnsi="宋体" w:cs="宋体"/>
          <w:b/>
          <w:color w:val="auto"/>
          <w:kern w:val="0"/>
          <w:sz w:val="28"/>
          <w:szCs w:val="28"/>
        </w:rPr>
        <w:t>采购</w:t>
      </w:r>
      <w:r>
        <w:rPr>
          <w:rFonts w:hint="eastAsia" w:ascii="宋体" w:hAnsi="宋体" w:cs="宋体"/>
          <w:b/>
          <w:color w:val="auto"/>
          <w:kern w:val="0"/>
          <w:sz w:val="28"/>
          <w:szCs w:val="28"/>
        </w:rPr>
        <w:t>公开招标公告</w:t>
      </w:r>
      <w:bookmarkEnd w:id="0"/>
    </w:p>
    <w:p w14:paraId="552C81F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rPr>
      </w:pPr>
      <w:r>
        <w:rPr>
          <w:rFonts w:hint="eastAsia" w:ascii="宋体" w:hAnsi="宋体" w:cs="宋体"/>
          <w:color w:val="auto"/>
          <w:sz w:val="24"/>
          <w:szCs w:val="24"/>
        </w:rPr>
        <w:t>项目概况</w:t>
      </w:r>
    </w:p>
    <w:p w14:paraId="28DB9B8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color w:val="auto"/>
          <w:kern w:val="0"/>
          <w:sz w:val="28"/>
          <w:szCs w:val="28"/>
        </w:rPr>
      </w:pPr>
      <w:r>
        <w:rPr>
          <w:rStyle w:val="27"/>
          <w:rFonts w:hint="eastAsia" w:ascii="宋体" w:hAnsi="宋体" w:cs="宋体"/>
          <w:color w:val="auto"/>
          <w:sz w:val="24"/>
          <w:szCs w:val="24"/>
          <w:lang w:eastAsia="zh-CN"/>
        </w:rPr>
        <w:t>云南工业技师学院（太和校区）计算机网络技术实训设备采购（二次）</w:t>
      </w:r>
      <w:r>
        <w:rPr>
          <w:rFonts w:hint="eastAsia" w:ascii="宋体" w:hAnsi="宋体" w:cs="宋体"/>
          <w:color w:val="auto"/>
          <w:sz w:val="24"/>
          <w:szCs w:val="24"/>
        </w:rPr>
        <w:t>的潜在供应商应在</w:t>
      </w:r>
      <w:r>
        <w:rPr>
          <w:rFonts w:hint="eastAsia" w:ascii="宋体" w:hAnsi="宋体" w:cs="宋体"/>
          <w:color w:val="auto"/>
          <w:sz w:val="24"/>
          <w:szCs w:val="24"/>
          <w:lang w:val="en-US" w:eastAsia="zh-CN"/>
        </w:rPr>
        <w:t>云南省政府采购网</w:t>
      </w:r>
      <w:r>
        <w:rPr>
          <w:rFonts w:hint="eastAsia" w:ascii="宋体" w:hAnsi="宋体" w:eastAsia="宋体" w:cs="宋体"/>
          <w:color w:val="auto"/>
        </w:rPr>
        <w:t>（http://www.yngp.com/）</w:t>
      </w:r>
      <w:r>
        <w:rPr>
          <w:rFonts w:hint="eastAsia" w:ascii="宋体" w:hAnsi="宋体" w:cs="宋体"/>
          <w:color w:val="auto"/>
          <w:sz w:val="24"/>
          <w:szCs w:val="24"/>
          <w:lang w:val="en-US" w:eastAsia="zh-CN"/>
        </w:rPr>
        <w:t>及</w:t>
      </w:r>
      <w:r>
        <w:rPr>
          <w:rFonts w:hint="eastAsia" w:ascii="宋体" w:hAnsi="宋体" w:cs="宋体"/>
          <w:color w:val="auto"/>
          <w:sz w:val="24"/>
          <w:szCs w:val="24"/>
        </w:rPr>
        <w:t>“政采云”平台（http：//www.zcygov.cn）上</w:t>
      </w:r>
      <w:r>
        <w:rPr>
          <w:color w:val="auto"/>
          <w:sz w:val="24"/>
          <w:szCs w:val="24"/>
        </w:rPr>
        <w:fldChar w:fldCharType="begin"/>
      </w:r>
      <w:r>
        <w:rPr>
          <w:color w:val="auto"/>
          <w:sz w:val="24"/>
          <w:szCs w:val="24"/>
        </w:rPr>
        <w:instrText xml:space="preserve"> HYPERLINK "http://220.164.171.157/）获取采购文件，并于2022年" </w:instrText>
      </w:r>
      <w:r>
        <w:rPr>
          <w:color w:val="auto"/>
          <w:sz w:val="24"/>
          <w:szCs w:val="24"/>
        </w:rPr>
        <w:fldChar w:fldCharType="separate"/>
      </w:r>
      <w:r>
        <w:rPr>
          <w:rStyle w:val="27"/>
          <w:rFonts w:hint="eastAsia" w:ascii="宋体" w:hAnsi="宋体" w:cs="宋体"/>
          <w:color w:val="auto"/>
          <w:sz w:val="24"/>
          <w:szCs w:val="24"/>
          <w:u w:val="none"/>
        </w:rPr>
        <w:t>获取</w:t>
      </w:r>
      <w:r>
        <w:rPr>
          <w:rStyle w:val="27"/>
          <w:rFonts w:hint="eastAsia" w:ascii="宋体" w:hAnsi="宋体" w:cs="宋体"/>
          <w:color w:val="auto"/>
          <w:sz w:val="24"/>
          <w:szCs w:val="24"/>
          <w:u w:val="none"/>
          <w:lang w:val="en-US" w:eastAsia="zh-CN"/>
        </w:rPr>
        <w:t>采购招标</w:t>
      </w:r>
      <w:r>
        <w:rPr>
          <w:rStyle w:val="27"/>
          <w:rFonts w:hint="eastAsia" w:ascii="宋体" w:hAnsi="宋体" w:cs="宋体"/>
          <w:color w:val="auto"/>
          <w:sz w:val="24"/>
          <w:szCs w:val="24"/>
          <w:u w:val="none"/>
        </w:rPr>
        <w:t>文件，并于</w:t>
      </w:r>
      <w:r>
        <w:rPr>
          <w:rStyle w:val="27"/>
          <w:rFonts w:hint="eastAsia" w:ascii="宋体" w:hAnsi="宋体" w:cs="宋体"/>
          <w:color w:val="auto"/>
          <w:sz w:val="24"/>
          <w:szCs w:val="24"/>
        </w:rPr>
        <w:t>202</w:t>
      </w:r>
      <w:r>
        <w:rPr>
          <w:rStyle w:val="27"/>
          <w:rFonts w:hint="eastAsia" w:ascii="宋体" w:hAnsi="宋体" w:cs="宋体"/>
          <w:color w:val="auto"/>
          <w:sz w:val="24"/>
          <w:szCs w:val="24"/>
          <w:lang w:val="en-US" w:eastAsia="zh-CN"/>
        </w:rPr>
        <w:t>6</w:t>
      </w:r>
      <w:r>
        <w:rPr>
          <w:rStyle w:val="27"/>
          <w:rFonts w:hint="eastAsia" w:ascii="宋体" w:hAnsi="宋体" w:cs="宋体"/>
          <w:bCs/>
          <w:color w:val="auto"/>
          <w:sz w:val="24"/>
          <w:szCs w:val="24"/>
        </w:rPr>
        <w:t>年</w:t>
      </w:r>
      <w:r>
        <w:rPr>
          <w:rStyle w:val="27"/>
          <w:rFonts w:hint="eastAsia" w:ascii="宋体" w:hAnsi="宋体" w:cs="宋体"/>
          <w:bCs/>
          <w:color w:val="auto"/>
          <w:sz w:val="24"/>
          <w:szCs w:val="24"/>
        </w:rPr>
        <w:fldChar w:fldCharType="end"/>
      </w:r>
      <w:r>
        <w:rPr>
          <w:rStyle w:val="27"/>
          <w:rFonts w:hint="eastAsia" w:ascii="宋体" w:hAnsi="宋体" w:cs="宋体"/>
          <w:bCs/>
          <w:color w:val="auto"/>
          <w:sz w:val="24"/>
          <w:szCs w:val="24"/>
          <w:lang w:val="en-US" w:eastAsia="zh-CN"/>
        </w:rPr>
        <w:t>09</w:t>
      </w:r>
      <w:r>
        <w:rPr>
          <w:rFonts w:hint="eastAsia" w:ascii="宋体" w:hAnsi="宋体" w:cs="宋体"/>
          <w:bCs/>
          <w:color w:val="auto"/>
          <w:sz w:val="24"/>
          <w:szCs w:val="24"/>
          <w:u w:val="single"/>
        </w:rPr>
        <w:t>月</w:t>
      </w:r>
      <w:r>
        <w:rPr>
          <w:rFonts w:hint="eastAsia" w:ascii="宋体" w:hAnsi="宋体" w:cs="宋体"/>
          <w:bCs/>
          <w:color w:val="auto"/>
          <w:sz w:val="24"/>
          <w:szCs w:val="24"/>
          <w:u w:val="single"/>
          <w:lang w:val="en-US" w:eastAsia="zh-CN"/>
        </w:rPr>
        <w:t>01</w:t>
      </w:r>
      <w:r>
        <w:rPr>
          <w:rFonts w:hint="eastAsia" w:ascii="宋体" w:hAnsi="宋体" w:cs="宋体"/>
          <w:bCs/>
          <w:color w:val="auto"/>
          <w:sz w:val="24"/>
          <w:szCs w:val="24"/>
          <w:u w:val="single"/>
        </w:rPr>
        <w:t>日1</w:t>
      </w:r>
      <w:r>
        <w:rPr>
          <w:rFonts w:hint="eastAsia" w:ascii="宋体" w:hAnsi="宋体" w:cs="宋体"/>
          <w:bCs/>
          <w:color w:val="auto"/>
          <w:sz w:val="24"/>
          <w:szCs w:val="24"/>
          <w:u w:val="single"/>
          <w:lang w:val="en-US" w:eastAsia="zh-CN"/>
        </w:rPr>
        <w:t>5时00分</w:t>
      </w:r>
      <w:r>
        <w:rPr>
          <w:rFonts w:hint="eastAsia" w:ascii="宋体" w:hAnsi="宋体" w:cs="宋体"/>
          <w:bCs/>
          <w:color w:val="auto"/>
          <w:sz w:val="24"/>
          <w:szCs w:val="24"/>
        </w:rPr>
        <w:t>（北京时间）</w:t>
      </w:r>
      <w:r>
        <w:rPr>
          <w:rFonts w:hint="eastAsia" w:ascii="宋体" w:hAnsi="宋体" w:cs="宋体"/>
          <w:bCs/>
          <w:color w:val="auto"/>
          <w:sz w:val="24"/>
          <w:szCs w:val="24"/>
          <w:lang w:val="en-US" w:eastAsia="zh-CN"/>
        </w:rPr>
        <w:t>上传及解密电子投标</w:t>
      </w:r>
      <w:r>
        <w:rPr>
          <w:rFonts w:hint="eastAsia" w:ascii="宋体" w:hAnsi="宋体" w:cs="宋体"/>
          <w:bCs/>
          <w:color w:val="auto"/>
          <w:sz w:val="24"/>
          <w:szCs w:val="24"/>
        </w:rPr>
        <w:t>文件</w:t>
      </w:r>
      <w:r>
        <w:rPr>
          <w:rFonts w:hint="eastAsia" w:ascii="宋体" w:hAnsi="宋体" w:cs="宋体"/>
          <w:color w:val="auto"/>
          <w:sz w:val="24"/>
          <w:szCs w:val="24"/>
        </w:rPr>
        <w:t>。</w:t>
      </w:r>
    </w:p>
    <w:p w14:paraId="4A26A5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一、公开招标条件</w:t>
      </w:r>
    </w:p>
    <w:p w14:paraId="07627E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根据《中华人民共和国政府采购法》、《中华人民共和国政府采购法实施条例》、《政府采购货物和服务招标投标管理办法》（财政部令第87号）等有关法律、法规和规章的规定，</w:t>
      </w:r>
      <w:r>
        <w:rPr>
          <w:rFonts w:hint="eastAsia" w:ascii="宋体" w:hAnsi="宋体" w:cs="宋体"/>
          <w:color w:val="auto"/>
          <w:kern w:val="0"/>
          <w:sz w:val="24"/>
          <w:lang w:eastAsia="zh-CN"/>
        </w:rPr>
        <w:t>云南荣腾工程管理咨询有限公司</w:t>
      </w:r>
      <w:r>
        <w:rPr>
          <w:rFonts w:hint="eastAsia" w:ascii="宋体" w:hAnsi="宋体" w:cs="宋体"/>
          <w:color w:val="auto"/>
          <w:kern w:val="0"/>
          <w:sz w:val="24"/>
        </w:rPr>
        <w:t>受</w:t>
      </w:r>
      <w:r>
        <w:rPr>
          <w:rFonts w:hint="eastAsia" w:ascii="宋体" w:hAnsi="宋体" w:cs="宋体"/>
          <w:color w:val="auto"/>
          <w:kern w:val="0"/>
          <w:sz w:val="24"/>
          <w:lang w:eastAsia="zh-CN"/>
        </w:rPr>
        <w:t>云南工业技师学院</w:t>
      </w:r>
      <w:r>
        <w:rPr>
          <w:rFonts w:hint="eastAsia" w:ascii="宋体" w:hAnsi="宋体" w:cs="宋体"/>
          <w:color w:val="auto"/>
          <w:kern w:val="0"/>
          <w:sz w:val="24"/>
        </w:rPr>
        <w:t>的委托，按照政府采购公开、公平、公正的原则，对</w:t>
      </w:r>
      <w:r>
        <w:rPr>
          <w:rFonts w:hint="eastAsia" w:ascii="宋体" w:hAnsi="宋体" w:cs="宋体"/>
          <w:color w:val="auto"/>
          <w:kern w:val="0"/>
          <w:sz w:val="24"/>
          <w:lang w:eastAsia="zh-CN"/>
        </w:rPr>
        <w:t>云南工业技师学院（太和校区）计算机网络技术实训设备采购（二次）</w:t>
      </w:r>
      <w:r>
        <w:rPr>
          <w:rFonts w:hint="eastAsia" w:ascii="宋体" w:hAnsi="宋体" w:cs="宋体"/>
          <w:color w:val="auto"/>
          <w:kern w:val="0"/>
          <w:sz w:val="24"/>
        </w:rPr>
        <w:t>进行公开招标，现通过发布</w:t>
      </w:r>
      <w:r>
        <w:rPr>
          <w:rFonts w:hint="eastAsia" w:ascii="宋体" w:hAnsi="宋体" w:cs="宋体"/>
          <w:color w:val="auto"/>
          <w:kern w:val="0"/>
          <w:sz w:val="24"/>
          <w:lang w:val="en-US" w:eastAsia="zh-CN"/>
        </w:rPr>
        <w:t>采购</w:t>
      </w:r>
      <w:r>
        <w:rPr>
          <w:rFonts w:hint="eastAsia" w:ascii="宋体" w:hAnsi="宋体" w:cs="宋体"/>
          <w:color w:val="auto"/>
          <w:kern w:val="0"/>
          <w:sz w:val="24"/>
        </w:rPr>
        <w:t>公告的方式邀请满足条件的投标供应商前来参加投标。</w:t>
      </w:r>
    </w:p>
    <w:p w14:paraId="16040094">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rPr>
        <w:t>项目编号</w:t>
      </w:r>
      <w:r>
        <w:rPr>
          <w:rFonts w:hint="eastAsia" w:ascii="宋体" w:hAnsi="宋体" w:eastAsia="宋体" w:cs="宋体"/>
          <w:color w:val="auto"/>
          <w:kern w:val="0"/>
          <w:sz w:val="24"/>
          <w:lang w:eastAsia="zh-CN"/>
        </w:rPr>
        <w:t>：YNRTZZ 202</w:t>
      </w:r>
      <w:r>
        <w:rPr>
          <w:rFonts w:hint="eastAsia" w:ascii="宋体" w:hAnsi="宋体" w:eastAsia="宋体" w:cs="宋体"/>
          <w:color w:val="auto"/>
          <w:kern w:val="0"/>
          <w:sz w:val="24"/>
          <w:lang w:val="en-US" w:eastAsia="zh-CN"/>
        </w:rPr>
        <w:t>6-391-366号</w:t>
      </w:r>
    </w:p>
    <w:p w14:paraId="52443B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cs="宋体"/>
          <w:color w:val="auto"/>
          <w:kern w:val="0"/>
          <w:sz w:val="24"/>
        </w:rPr>
        <w:t>三、项目名称：</w:t>
      </w:r>
      <w:r>
        <w:rPr>
          <w:rFonts w:hint="eastAsia" w:ascii="宋体" w:hAnsi="宋体" w:cs="宋体"/>
          <w:color w:val="auto"/>
          <w:kern w:val="0"/>
          <w:sz w:val="24"/>
          <w:lang w:eastAsia="zh-CN"/>
        </w:rPr>
        <w:t>云南工业技师学院（太和校区）计算机网络技术实训设备采购（二次）</w:t>
      </w:r>
    </w:p>
    <w:p w14:paraId="1D74F8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四、投标供应商资格要求：</w:t>
      </w:r>
    </w:p>
    <w:p w14:paraId="560026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参与投标的供应商必须具备《政府采购法》第二十二条规定的条件，依据《曲靖市财政局关于对政府采购供应商资格条件试行“承诺+信用管理”准入管理制的通知》(曲财采【2023】16号)规定，在政府采购活动中，供应商只需在资格审查环节提供满足下列相应条件的资格承诺函，不再需要提供相应证明资料:</w:t>
      </w:r>
    </w:p>
    <w:p w14:paraId="05C3B4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CE388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06CD6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（3）有依法缴纳税收和社会保障资金的良好记录；</w:t>
      </w:r>
    </w:p>
    <w:p w14:paraId="084D4F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（4）具有履行合同所必需的设备和专业技术能力；</w:t>
      </w:r>
    </w:p>
    <w:p w14:paraId="329CC4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（5）参加本次政府采购活动前三年内，在经营活动中没有重大违法记录；</w:t>
      </w:r>
    </w:p>
    <w:p w14:paraId="060DE8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（6）在投标(响应)截止日期前未被列入失信被执行人名单、重大税收违法案件当事人名单、政府采购严重违法失信行为记录名单；</w:t>
      </w:r>
    </w:p>
    <w:p w14:paraId="36023B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7）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47775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rPr>
      </w:pPr>
      <w:r>
        <w:rPr>
          <w:rFonts w:hint="eastAsia" w:ascii="宋体" w:hAnsi="宋体" w:cs="宋体"/>
          <w:color w:val="auto"/>
          <w:sz w:val="24"/>
          <w:highlight w:val="none"/>
        </w:rPr>
        <w:t>注：存在不良信用记录的供应商，在信用修复前不适用承诺制。</w:t>
      </w:r>
    </w:p>
    <w:p w14:paraId="501216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2.落实政府采购政策需满足的资格要求：本项目不属于专门面向中小微企业采购，评审时，</w:t>
      </w:r>
      <w:bookmarkStart w:id="1" w:name="OLE_LINK11"/>
      <w:r>
        <w:rPr>
          <w:rFonts w:hint="eastAsia" w:ascii="宋体" w:hAnsi="宋体" w:eastAsia="宋体" w:cs="宋体"/>
          <w:color w:val="auto"/>
          <w:kern w:val="0"/>
          <w:sz w:val="24"/>
        </w:rPr>
        <w:t>小微型企业、监狱企业、残疾人福利性单位</w:t>
      </w:r>
      <w:bookmarkEnd w:id="1"/>
      <w:r>
        <w:rPr>
          <w:rFonts w:hint="eastAsia" w:ascii="宋体" w:hAnsi="宋体" w:eastAsia="宋体" w:cs="宋体"/>
          <w:color w:val="auto"/>
          <w:kern w:val="0"/>
          <w:sz w:val="24"/>
        </w:rPr>
        <w:t>报价给予10%的扣除。用扣除后的价格参与评审，监狱企业、残疾人福利性单位属于小型、微型企业的，不重复享受政策。</w:t>
      </w:r>
    </w:p>
    <w:p w14:paraId="6DD0F9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.本次招标不接受联合体投标。</w:t>
      </w:r>
    </w:p>
    <w:p w14:paraId="5797F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.本次招标不允许分包或者转包。</w:t>
      </w:r>
    </w:p>
    <w:p w14:paraId="1E1C45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.本项目特殊资质要求：</w:t>
      </w:r>
      <w:r>
        <w:rPr>
          <w:rFonts w:hint="eastAsia" w:ascii="宋体" w:hAnsi="宋体" w:eastAsia="宋体" w:cs="宋体"/>
          <w:color w:val="auto"/>
          <w:kern w:val="0"/>
          <w:sz w:val="24"/>
          <w:lang w:val="en-US" w:eastAsia="zh-CN"/>
        </w:rPr>
        <w:t>无</w:t>
      </w:r>
      <w:r>
        <w:rPr>
          <w:rFonts w:hint="eastAsia" w:ascii="宋体" w:hAnsi="宋体" w:cs="宋体"/>
          <w:color w:val="auto"/>
          <w:kern w:val="0"/>
          <w:sz w:val="24"/>
          <w:lang w:eastAsia="zh-CN"/>
        </w:rPr>
        <w:t>。</w:t>
      </w:r>
    </w:p>
    <w:p w14:paraId="48E808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 xml:space="preserve">五、本次资格审查方式采用资格后审。 </w:t>
      </w:r>
    </w:p>
    <w:p w14:paraId="2FA75B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 xml:space="preserve">六、采购要求： </w:t>
      </w:r>
    </w:p>
    <w:p w14:paraId="5E11F9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1.采购内容：采购</w:t>
      </w:r>
      <w:r>
        <w:rPr>
          <w:rFonts w:hint="eastAsia" w:ascii="宋体" w:hAnsi="宋体" w:eastAsia="宋体" w:cs="宋体"/>
          <w:color w:val="auto"/>
          <w:kern w:val="0"/>
          <w:sz w:val="24"/>
          <w:lang w:val="en-US" w:eastAsia="zh-CN"/>
        </w:rPr>
        <w:t>实训一体机4台、实训一体机交换机2台、虚拟仿真平台（配套课程资源）1套；</w:t>
      </w:r>
    </w:p>
    <w:p w14:paraId="647CCF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注：</w:t>
      </w:r>
      <w:r>
        <w:rPr>
          <w:rFonts w:hint="eastAsia" w:ascii="宋体" w:hAnsi="宋体" w:eastAsia="宋体" w:cs="宋体"/>
          <w:color w:val="auto"/>
          <w:kern w:val="0"/>
          <w:sz w:val="24"/>
        </w:rPr>
        <w:t>本项目共分1个标段，供应商需对标段内所有采购内容进行整体投标，不得缺项漏项，否则其投标文件作无效投标处理</w:t>
      </w:r>
      <w:r>
        <w:rPr>
          <w:rFonts w:hint="eastAsia" w:ascii="宋体" w:hAnsi="宋体" w:eastAsia="宋体" w:cs="宋体"/>
          <w:color w:val="auto"/>
          <w:kern w:val="0"/>
          <w:sz w:val="24"/>
          <w:lang w:eastAsia="zh-CN"/>
        </w:rPr>
        <w:t>。</w:t>
      </w:r>
    </w:p>
    <w:p w14:paraId="5A47E2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kern w:val="0"/>
          <w:sz w:val="24"/>
          <w:lang w:val="en-US" w:eastAsia="zh-CN"/>
        </w:rPr>
        <w:t>采购方式：公开招标；</w:t>
      </w:r>
    </w:p>
    <w:p w14:paraId="058325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3.采购预算价：</w:t>
      </w:r>
      <w:r>
        <w:rPr>
          <w:rFonts w:hint="eastAsia" w:ascii="宋体" w:hAnsi="宋体" w:eastAsia="宋体" w:cs="宋体"/>
          <w:color w:val="auto"/>
          <w:kern w:val="0"/>
          <w:sz w:val="24"/>
          <w:lang w:val="en-US" w:eastAsia="zh-CN"/>
        </w:rPr>
        <w:t>含税最高采购预算价</w:t>
      </w:r>
      <w:r>
        <w:rPr>
          <w:rFonts w:hint="eastAsia" w:ascii="宋体" w:hAnsi="宋体" w:cs="宋体"/>
          <w:color w:val="auto"/>
          <w:kern w:val="0"/>
          <w:sz w:val="24"/>
          <w:lang w:val="en-US" w:eastAsia="zh-CN"/>
        </w:rPr>
        <w:t>215.00万</w:t>
      </w:r>
      <w:r>
        <w:rPr>
          <w:rFonts w:hint="eastAsia" w:ascii="宋体" w:hAnsi="宋体" w:cs="宋体"/>
          <w:color w:val="auto"/>
          <w:kern w:val="0"/>
          <w:sz w:val="24"/>
        </w:rPr>
        <w:t>元；</w:t>
      </w:r>
    </w:p>
    <w:p w14:paraId="050700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交</w:t>
      </w:r>
      <w:r>
        <w:rPr>
          <w:rFonts w:hint="eastAsia" w:ascii="宋体" w:hAnsi="宋体" w:eastAsia="宋体" w:cs="宋体"/>
          <w:color w:val="auto"/>
          <w:kern w:val="0"/>
          <w:sz w:val="24"/>
          <w:lang w:val="en-US" w:eastAsia="zh-CN"/>
        </w:rPr>
        <w:t>货</w:t>
      </w:r>
      <w:r>
        <w:rPr>
          <w:rFonts w:hint="eastAsia" w:ascii="宋体" w:hAnsi="宋体" w:eastAsia="宋体" w:cs="宋体"/>
          <w:color w:val="auto"/>
          <w:kern w:val="0"/>
          <w:sz w:val="24"/>
        </w:rPr>
        <w:t>地点：</w:t>
      </w:r>
      <w:r>
        <w:rPr>
          <w:rFonts w:hint="eastAsia" w:ascii="宋体" w:hAnsi="宋体" w:eastAsia="宋体" w:cs="宋体"/>
          <w:color w:val="auto"/>
          <w:kern w:val="0"/>
          <w:sz w:val="24"/>
          <w:lang w:val="en-US" w:eastAsia="zh-CN"/>
        </w:rPr>
        <w:t>采购人指定地点；</w:t>
      </w:r>
    </w:p>
    <w:p w14:paraId="63AEF7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5.供货时间：合同签订后30日历天内按采购人要求完成供货、安装、调试并保证可用；</w:t>
      </w:r>
    </w:p>
    <w:p w14:paraId="3555A6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6.质量要求：符合国家及行业现行标准和采购人提出的技术需求。</w:t>
      </w:r>
    </w:p>
    <w:p w14:paraId="507D07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7.售后服务：产品3年质保期内，免费维修和更换质量原因造成的零部件损坏，安装好产品后提供产品相关技能培训并保证正常操作使用。</w:t>
      </w:r>
    </w:p>
    <w:p w14:paraId="7B57C1FB">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ascii="宋体" w:hAnsi="宋体" w:cs="宋体"/>
          <w:color w:val="auto"/>
          <w:kern w:val="0"/>
          <w:sz w:val="24"/>
        </w:rPr>
      </w:pPr>
      <w:r>
        <w:rPr>
          <w:rFonts w:hint="eastAsia" w:ascii="宋体" w:hAnsi="宋体" w:cs="宋体"/>
          <w:color w:val="auto"/>
          <w:kern w:val="0"/>
          <w:sz w:val="24"/>
        </w:rPr>
        <w:t>七、采购文件的获取</w:t>
      </w:r>
    </w:p>
    <w:p w14:paraId="3D9ABF2B">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bookmarkStart w:id="2" w:name="_Toc28359015"/>
      <w:bookmarkStart w:id="3" w:name="_Toc35393801"/>
      <w:bookmarkStart w:id="4" w:name="_Toc28359092"/>
      <w:bookmarkStart w:id="5" w:name="_Toc2564"/>
      <w:bookmarkStart w:id="6" w:name="_Toc35393632"/>
      <w:r>
        <w:rPr>
          <w:rFonts w:hint="eastAsia" w:ascii="宋体" w:hAnsi="宋体" w:eastAsia="宋体" w:cs="宋体"/>
          <w:color w:val="auto"/>
        </w:rPr>
        <w:t>时间：</w:t>
      </w:r>
      <w:r>
        <w:rPr>
          <w:rFonts w:hint="eastAsia" w:ascii="宋体" w:hAnsi="宋体" w:eastAsia="宋体" w:cs="宋体"/>
          <w:color w:val="auto"/>
          <w:u w:val="single"/>
        </w:rPr>
        <w:t>202</w:t>
      </w:r>
      <w:r>
        <w:rPr>
          <w:rFonts w:hint="eastAsia" w:ascii="宋体" w:hAnsi="宋体" w:eastAsia="宋体" w:cs="宋体"/>
          <w:color w:val="auto"/>
          <w:u w:val="single"/>
          <w:lang w:val="en-US" w:eastAsia="zh-CN"/>
        </w:rPr>
        <w:t>6</w:t>
      </w:r>
      <w:r>
        <w:rPr>
          <w:rFonts w:hint="eastAsia" w:ascii="宋体" w:hAnsi="宋体" w:eastAsia="宋体" w:cs="宋体"/>
          <w:color w:val="auto"/>
        </w:rPr>
        <w:t>年</w:t>
      </w:r>
      <w:r>
        <w:rPr>
          <w:rFonts w:hint="eastAsia" w:cs="宋体"/>
          <w:color w:val="auto"/>
          <w:u w:val="single"/>
          <w:lang w:val="en-US" w:eastAsia="zh-CN"/>
        </w:rPr>
        <w:t>08</w:t>
      </w:r>
      <w:r>
        <w:rPr>
          <w:rFonts w:hint="eastAsia" w:ascii="宋体" w:hAnsi="宋体" w:eastAsia="宋体" w:cs="宋体"/>
          <w:color w:val="auto"/>
        </w:rPr>
        <w:t>月</w:t>
      </w:r>
      <w:r>
        <w:rPr>
          <w:rFonts w:hint="eastAsia" w:cs="宋体"/>
          <w:color w:val="auto"/>
          <w:u w:val="single"/>
          <w:lang w:val="en-US" w:eastAsia="zh-CN"/>
        </w:rPr>
        <w:t>10</w:t>
      </w:r>
      <w:r>
        <w:rPr>
          <w:rFonts w:hint="eastAsia" w:ascii="宋体" w:hAnsi="宋体" w:eastAsia="宋体" w:cs="宋体"/>
          <w:color w:val="auto"/>
        </w:rPr>
        <w:t>日至</w:t>
      </w:r>
      <w:r>
        <w:rPr>
          <w:rFonts w:hint="eastAsia" w:ascii="宋体" w:hAnsi="宋体" w:eastAsia="宋体" w:cs="宋体"/>
          <w:color w:val="auto"/>
          <w:u w:val="single"/>
        </w:rPr>
        <w:t>202</w:t>
      </w:r>
      <w:r>
        <w:rPr>
          <w:rFonts w:hint="eastAsia" w:ascii="宋体" w:hAnsi="宋体" w:eastAsia="宋体" w:cs="宋体"/>
          <w:color w:val="auto"/>
          <w:u w:val="single"/>
          <w:lang w:val="en-US" w:eastAsia="zh-CN"/>
        </w:rPr>
        <w:t>6</w:t>
      </w:r>
      <w:r>
        <w:rPr>
          <w:rFonts w:hint="eastAsia" w:ascii="宋体" w:hAnsi="宋体" w:eastAsia="宋体" w:cs="宋体"/>
          <w:color w:val="auto"/>
        </w:rPr>
        <w:t>年</w:t>
      </w:r>
      <w:r>
        <w:rPr>
          <w:rFonts w:hint="eastAsia" w:cs="宋体"/>
          <w:color w:val="auto"/>
          <w:u w:val="single"/>
          <w:lang w:val="en-US" w:eastAsia="zh-CN"/>
        </w:rPr>
        <w:t>08</w:t>
      </w:r>
      <w:r>
        <w:rPr>
          <w:rFonts w:hint="eastAsia" w:ascii="宋体" w:hAnsi="宋体" w:eastAsia="宋体" w:cs="宋体"/>
          <w:color w:val="auto"/>
        </w:rPr>
        <w:t>月</w:t>
      </w:r>
      <w:r>
        <w:rPr>
          <w:rFonts w:hint="eastAsia" w:cs="宋体"/>
          <w:color w:val="auto"/>
          <w:u w:val="single"/>
          <w:lang w:val="en-US" w:eastAsia="zh-CN"/>
        </w:rPr>
        <w:t>17</w:t>
      </w:r>
      <w:r>
        <w:rPr>
          <w:rFonts w:hint="eastAsia" w:ascii="宋体" w:hAnsi="宋体" w:eastAsia="宋体" w:cs="宋体"/>
          <w:color w:val="auto"/>
        </w:rPr>
        <w:t>日</w:t>
      </w:r>
      <w:r>
        <w:rPr>
          <w:rFonts w:hint="eastAsia" w:ascii="宋体" w:hAnsi="宋体" w:eastAsia="宋体" w:cs="宋体"/>
          <w:color w:val="auto"/>
          <w:u w:val="single"/>
          <w:lang w:val="en-US" w:eastAsia="zh-CN"/>
        </w:rPr>
        <w:t>6时00分至23时59分</w:t>
      </w:r>
      <w:r>
        <w:rPr>
          <w:rFonts w:hint="eastAsia" w:ascii="宋体" w:hAnsi="宋体" w:eastAsia="宋体" w:cs="宋体"/>
          <w:color w:val="auto"/>
        </w:rPr>
        <w:t>（北京时间）；</w:t>
      </w:r>
    </w:p>
    <w:p w14:paraId="7B32CFC1">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地点：“政采云”平台（https://www.zcygov.cn/）（操作路径：登录“政采云”平台-项目采购-获取采购文件 -找到本项目-点击“申请获取采购文件”）。</w:t>
      </w:r>
    </w:p>
    <w:p w14:paraId="6A0A8A5B">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方式：网上下载。</w:t>
      </w:r>
    </w:p>
    <w:p w14:paraId="55C5FE79">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（一）凡有意参加投标者，须注册政采云平台账号并登录办理数字证书（CA），若供应商未办理数字证书（CA）的，可选择办理云南壹证通CA。CA申领链接：</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"http://yzt.ynsmartcert.cn/cms/ca0103.html" </w:instrText>
      </w:r>
      <w:r>
        <w:rPr>
          <w:rFonts w:hint="eastAsia" w:ascii="宋体" w:hAnsi="宋体" w:eastAsia="宋体" w:cs="宋体"/>
          <w:color w:val="auto"/>
        </w:rPr>
        <w:fldChar w:fldCharType="separate"/>
      </w:r>
      <w:r>
        <w:rPr>
          <w:rFonts w:hint="eastAsia" w:ascii="宋体" w:hAnsi="宋体" w:eastAsia="宋体" w:cs="宋体"/>
          <w:color w:val="auto"/>
        </w:rPr>
        <w:t>http://yzt.ynsmartcert.cn/</w:t>
      </w:r>
      <w:r>
        <w:rPr>
          <w:rFonts w:hint="eastAsia" w:ascii="宋体" w:hAnsi="宋体" w:eastAsia="宋体" w:cs="宋体"/>
          <w:color w:val="auto"/>
        </w:rPr>
        <w:fldChar w:fldCharType="end"/>
      </w:r>
      <w:r>
        <w:rPr>
          <w:rFonts w:hint="eastAsia" w:ascii="宋体" w:hAnsi="宋体" w:eastAsia="宋体" w:cs="宋体"/>
          <w:color w:val="auto"/>
        </w:rPr>
        <w:t xml:space="preserve"> </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"http://yzt.ynsmartcert.cn/cms/yztbnxj16.html"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rPr>
        <w:t>云南壹证通CA 可支持线上、线下两种办理方式，并提供7*24小时全天候客户服务支持，客服热线400-004-0628。（紧急CA办理电话：19988166369）政府采购云平台支持多家CA服务商，供应商可自行选择办理。</w:t>
      </w:r>
    </w:p>
    <w:p w14:paraId="2C543012">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（二）数字证书（CA）申领完成之后进入政府采购云平台，企业账号与数字证书（CA）进行绑定，凭企业数字证书（CA）进行项目报名及免费下载招标文件。</w:t>
      </w:r>
    </w:p>
    <w:p w14:paraId="1EEF4306">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（三）按上述要求获取文件的供应商视为已合法获取本项目采购文件，具备本项目的投标（磋商或谈判）资格。</w:t>
      </w:r>
    </w:p>
    <w:p w14:paraId="2E7B9954">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（四）如有问题可拨打政采云客户服务热线95763进行咨询，数字证书（CA）问题可咨询24小时技术支持热线400-004-0628（紧急办理可拨：19988166369</w:t>
      </w:r>
      <w:r>
        <w:rPr>
          <w:rFonts w:hint="eastAsia" w:ascii="宋体" w:hAnsi="宋体" w:eastAsia="宋体" w:cs="宋体"/>
          <w:color w:val="auto"/>
          <w:lang w:eastAsia="zh-CN"/>
        </w:rPr>
        <w:t>）</w:t>
      </w:r>
      <w:r>
        <w:rPr>
          <w:rFonts w:hint="eastAsia" w:ascii="宋体" w:hAnsi="宋体" w:eastAsia="宋体" w:cs="宋体"/>
          <w:color w:val="auto"/>
          <w:lang w:val="en-US" w:eastAsia="zh-CN"/>
        </w:rPr>
        <w:t xml:space="preserve">      注：</w:t>
      </w:r>
      <w:r>
        <w:rPr>
          <w:rFonts w:hint="eastAsia" w:ascii="宋体" w:hAnsi="宋体" w:eastAsia="宋体" w:cs="宋体"/>
          <w:color w:val="auto"/>
        </w:rPr>
        <w:t>按上述要求获取采购文件的供应商视为合法获取了本项目采购文件，具备本项目的投标资格。</w:t>
      </w:r>
    </w:p>
    <w:p w14:paraId="300700F2">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五</w:t>
      </w:r>
      <w:r>
        <w:rPr>
          <w:rFonts w:hint="eastAsia" w:ascii="宋体" w:hAnsi="宋体" w:eastAsia="宋体" w:cs="宋体"/>
          <w:color w:val="auto"/>
          <w:lang w:eastAsia="zh-CN"/>
        </w:rPr>
        <w:t>）</w:t>
      </w:r>
      <w:r>
        <w:rPr>
          <w:rFonts w:hint="eastAsia" w:ascii="宋体" w:hAnsi="宋体" w:eastAsia="宋体" w:cs="宋体"/>
          <w:color w:val="auto"/>
        </w:rPr>
        <w:t>售价（元）：</w:t>
      </w:r>
      <w:r>
        <w:rPr>
          <w:rFonts w:hint="eastAsia" w:ascii="宋体" w:hAnsi="宋体" w:eastAsia="宋体" w:cs="宋体"/>
          <w:color w:val="auto"/>
          <w:lang w:val="en-US" w:eastAsia="zh-CN"/>
        </w:rPr>
        <w:t>0.00元</w:t>
      </w:r>
    </w:p>
    <w:bookmarkEnd w:id="2"/>
    <w:bookmarkEnd w:id="3"/>
    <w:bookmarkEnd w:id="4"/>
    <w:bookmarkEnd w:id="5"/>
    <w:bookmarkEnd w:id="6"/>
    <w:p w14:paraId="0616E892">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八、开标时间及地点</w:t>
      </w:r>
    </w:p>
    <w:p w14:paraId="27775CD0">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color w:val="auto"/>
          <w:sz w:val="24"/>
        </w:rPr>
      </w:pPr>
      <w:r>
        <w:rPr>
          <w:rFonts w:hint="eastAsia" w:ascii="宋体" w:hAnsi="宋体" w:eastAsia="宋体" w:cs="宋体"/>
          <w:bCs/>
          <w:color w:val="auto"/>
          <w:sz w:val="24"/>
        </w:rPr>
        <w:t>开标时间：</w:t>
      </w:r>
      <w:r>
        <w:rPr>
          <w:rFonts w:hint="eastAsia" w:ascii="宋体" w:hAnsi="宋体" w:eastAsia="宋体" w:cs="宋体"/>
          <w:color w:val="auto"/>
          <w:sz w:val="24"/>
          <w:u w:val="single"/>
        </w:rPr>
        <w:t>202</w:t>
      </w:r>
      <w:r>
        <w:rPr>
          <w:rFonts w:hint="eastAsia" w:ascii="宋体" w:hAnsi="宋体" w:eastAsia="宋体" w:cs="宋体"/>
          <w:color w:val="auto"/>
          <w:sz w:val="24"/>
          <w:u w:val="single"/>
          <w:lang w:val="en-US" w:eastAsia="zh-CN"/>
        </w:rPr>
        <w:t>6</w:t>
      </w:r>
      <w:r>
        <w:rPr>
          <w:rFonts w:hint="eastAsia" w:ascii="宋体" w:hAnsi="宋体" w:eastAsia="宋体" w:cs="宋体"/>
          <w:color w:val="auto"/>
          <w:sz w:val="24"/>
        </w:rPr>
        <w:t xml:space="preserve">年 </w:t>
      </w:r>
      <w:r>
        <w:rPr>
          <w:rFonts w:hint="eastAsia" w:ascii="宋体" w:hAnsi="宋体" w:eastAsia="宋体" w:cs="宋体"/>
          <w:color w:val="auto"/>
          <w:sz w:val="24"/>
          <w:u w:val="single"/>
          <w:lang w:val="en-US" w:eastAsia="zh-CN"/>
        </w:rPr>
        <w:t>0</w:t>
      </w:r>
      <w:r>
        <w:rPr>
          <w:rFonts w:hint="eastAsia" w:ascii="宋体" w:hAnsi="宋体" w:cs="宋体"/>
          <w:color w:val="auto"/>
          <w:sz w:val="24"/>
          <w:u w:val="single"/>
          <w:lang w:val="en-US" w:eastAsia="zh-CN"/>
        </w:rPr>
        <w:t>9</w:t>
      </w:r>
      <w:r>
        <w:rPr>
          <w:rFonts w:hint="eastAsia" w:ascii="宋体" w:hAnsi="宋体" w:eastAsia="宋体" w:cs="宋体"/>
          <w:color w:val="auto"/>
          <w:sz w:val="24"/>
        </w:rPr>
        <w:t>月</w:t>
      </w:r>
      <w:r>
        <w:rPr>
          <w:rFonts w:hint="eastAsia" w:ascii="宋体" w:hAnsi="宋体" w:cs="宋体"/>
          <w:color w:val="auto"/>
          <w:sz w:val="24"/>
          <w:u w:val="single"/>
          <w:lang w:val="en-US" w:eastAsia="zh-CN"/>
        </w:rPr>
        <w:t>01</w:t>
      </w:r>
      <w:r>
        <w:rPr>
          <w:rFonts w:hint="eastAsia" w:ascii="宋体" w:hAnsi="宋体" w:eastAsia="宋体" w:cs="宋体"/>
          <w:color w:val="auto"/>
          <w:sz w:val="24"/>
        </w:rPr>
        <w:t>日</w:t>
      </w:r>
      <w:r>
        <w:rPr>
          <w:rFonts w:hint="eastAsia" w:ascii="宋体" w:hAnsi="宋体" w:eastAsia="宋体" w:cs="宋体"/>
          <w:color w:val="auto"/>
          <w:sz w:val="24"/>
          <w:lang w:val="en-US" w:eastAsia="zh-CN"/>
        </w:rPr>
        <w:t>15</w:t>
      </w:r>
      <w:r>
        <w:rPr>
          <w:rFonts w:hint="eastAsia" w:ascii="宋体" w:hAnsi="宋体" w:eastAsia="宋体" w:cs="宋体"/>
          <w:color w:val="auto"/>
          <w:sz w:val="24"/>
        </w:rPr>
        <w:t>时</w:t>
      </w:r>
      <w:r>
        <w:rPr>
          <w:rFonts w:hint="eastAsia" w:ascii="宋体" w:hAnsi="宋体" w:eastAsia="宋体" w:cs="宋体"/>
          <w:color w:val="auto"/>
          <w:sz w:val="24"/>
          <w:lang w:val="en-US" w:eastAsia="zh-CN"/>
        </w:rPr>
        <w:t>00分</w:t>
      </w:r>
      <w:r>
        <w:rPr>
          <w:rFonts w:hint="eastAsia" w:ascii="宋体" w:hAnsi="宋体" w:eastAsia="宋体" w:cs="宋体"/>
          <w:bCs/>
          <w:color w:val="auto"/>
          <w:sz w:val="24"/>
        </w:rPr>
        <w:t>（北京时间）；</w:t>
      </w:r>
    </w:p>
    <w:p w14:paraId="07A4FC3C">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开标地点：云南荣腾工程管理咨询有限公司</w:t>
      </w:r>
      <w:r>
        <w:rPr>
          <w:rFonts w:hint="eastAsia" w:ascii="宋体" w:hAnsi="宋体" w:eastAsia="宋体" w:cs="宋体"/>
          <w:color w:val="auto"/>
          <w:sz w:val="24"/>
          <w:lang w:val="en-US" w:eastAsia="zh-CN"/>
        </w:rPr>
        <w:t>二楼电子开标室</w:t>
      </w:r>
      <w:r>
        <w:rPr>
          <w:rFonts w:hint="eastAsia" w:ascii="宋体" w:hAnsi="宋体" w:eastAsia="宋体" w:cs="宋体"/>
          <w:color w:val="auto"/>
          <w:sz w:val="24"/>
        </w:rPr>
        <w:t>（</w:t>
      </w:r>
      <w:r>
        <w:rPr>
          <w:rFonts w:hint="eastAsia" w:ascii="宋体" w:hAnsi="宋体" w:eastAsia="宋体" w:cs="宋体"/>
          <w:color w:val="auto"/>
          <w:kern w:val="0"/>
          <w:sz w:val="24"/>
        </w:rPr>
        <w:t>曲靖市麒麟区三江大道17号蓝光雅苑10栋1-6号商铺</w:t>
      </w:r>
      <w:r>
        <w:rPr>
          <w:rFonts w:hint="eastAsia" w:ascii="宋体" w:hAnsi="宋体" w:eastAsia="宋体" w:cs="宋体"/>
          <w:color w:val="auto"/>
          <w:sz w:val="24"/>
        </w:rPr>
        <w:t>）。</w:t>
      </w:r>
    </w:p>
    <w:p w14:paraId="03CEF08D">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rPr>
      </w:pPr>
      <w:r>
        <w:rPr>
          <w:rFonts w:hint="eastAsia" w:hAnsi="宋体" w:eastAsia="宋体" w:cs="宋体"/>
          <w:color w:val="auto"/>
          <w:sz w:val="24"/>
          <w:lang w:val="en-US" w:eastAsia="zh-CN"/>
        </w:rPr>
        <w:t>九</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公告期限</w:t>
      </w:r>
    </w:p>
    <w:p w14:paraId="03C3C695">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自本公告发布之日起5个工作日。</w:t>
      </w:r>
    </w:p>
    <w:p w14:paraId="7A22A8B3">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十</w:t>
      </w:r>
      <w:r>
        <w:rPr>
          <w:rFonts w:hint="eastAsia" w:ascii="宋体" w:hAnsi="宋体" w:eastAsia="宋体" w:cs="宋体"/>
          <w:color w:val="auto"/>
          <w:kern w:val="0"/>
          <w:sz w:val="24"/>
        </w:rPr>
        <w:t>、其他补充事宜：</w:t>
      </w:r>
    </w:p>
    <w:p w14:paraId="162CE9F8">
      <w:pPr>
        <w:pStyle w:val="18"/>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1.开标方式：网上开标</w:t>
      </w:r>
    </w:p>
    <w:p w14:paraId="0C414CD2">
      <w:pPr>
        <w:pStyle w:val="18"/>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2.是否需要缴纳投标保证金：否</w:t>
      </w:r>
    </w:p>
    <w:p w14:paraId="5D6B44D5">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 xml:space="preserve"> 3.</w:t>
      </w:r>
      <w:r>
        <w:rPr>
          <w:rFonts w:hint="eastAsia" w:ascii="宋体" w:hAnsi="宋体" w:eastAsia="宋体" w:cs="宋体"/>
          <w:color w:val="auto"/>
          <w:lang w:val="en-US" w:eastAsia="zh-CN"/>
        </w:rPr>
        <w:t>投标</w:t>
      </w:r>
      <w:r>
        <w:rPr>
          <w:rFonts w:hint="eastAsia" w:ascii="宋体" w:hAnsi="宋体" w:eastAsia="宋体" w:cs="宋体"/>
          <w:color w:val="auto"/>
        </w:rPr>
        <w:t>文件的递交:网上递交,网上递交网址为政采云平台（ https://www.zcygov.cn/），各供应商应在开标前应确保成为政采云平台供应商，并完成 CA 数字证书申领。因未注册入库、未办理 CA 数字证书等原因造成无法投标或投标失败等后果由供应商自行承担。供应商须在投标截止时间前完成所有</w:t>
      </w:r>
      <w:r>
        <w:rPr>
          <w:rFonts w:hint="eastAsia" w:ascii="宋体" w:hAnsi="宋体" w:eastAsia="宋体" w:cs="宋体"/>
          <w:color w:val="auto"/>
          <w:lang w:val="en-US" w:eastAsia="zh-CN"/>
        </w:rPr>
        <w:t>投标</w:t>
      </w:r>
      <w:r>
        <w:rPr>
          <w:rFonts w:hint="eastAsia" w:ascii="宋体" w:hAnsi="宋体" w:eastAsia="宋体" w:cs="宋体"/>
          <w:color w:val="auto"/>
        </w:rPr>
        <w:t>文件的上传，投标截止时间前未完成</w:t>
      </w:r>
      <w:r>
        <w:rPr>
          <w:rFonts w:hint="eastAsia" w:ascii="宋体" w:hAnsi="宋体" w:eastAsia="宋体" w:cs="宋体"/>
          <w:color w:val="auto"/>
          <w:lang w:val="en-US" w:eastAsia="zh-CN"/>
        </w:rPr>
        <w:t>投标</w:t>
      </w:r>
      <w:r>
        <w:rPr>
          <w:rFonts w:hint="eastAsia" w:ascii="宋体" w:hAnsi="宋体" w:eastAsia="宋体" w:cs="宋体"/>
          <w:color w:val="auto"/>
        </w:rPr>
        <w:t>文件上传的，视为撤回</w:t>
      </w:r>
      <w:r>
        <w:rPr>
          <w:rFonts w:hint="eastAsia" w:ascii="宋体" w:hAnsi="宋体" w:eastAsia="宋体" w:cs="宋体"/>
          <w:color w:val="auto"/>
          <w:lang w:val="en-US" w:eastAsia="zh-CN"/>
        </w:rPr>
        <w:t>投标</w:t>
      </w:r>
      <w:r>
        <w:rPr>
          <w:rFonts w:hint="eastAsia" w:ascii="宋体" w:hAnsi="宋体" w:eastAsia="宋体" w:cs="宋体"/>
          <w:color w:val="auto"/>
        </w:rPr>
        <w:t>文件。若供应商未在规定时间完成解密的（如：无法解密、网络故障、未安装相关驱动、浏览器故障、加密CA与解密CA不一致等），则视为撤销其</w:t>
      </w:r>
      <w:r>
        <w:rPr>
          <w:rFonts w:hint="eastAsia" w:ascii="宋体" w:hAnsi="宋体" w:eastAsia="宋体" w:cs="宋体"/>
          <w:color w:val="auto"/>
          <w:lang w:val="en-US" w:eastAsia="zh-CN"/>
        </w:rPr>
        <w:t>投标</w:t>
      </w:r>
      <w:r>
        <w:rPr>
          <w:rFonts w:hint="eastAsia" w:ascii="宋体" w:hAnsi="宋体" w:eastAsia="宋体" w:cs="宋体"/>
          <w:color w:val="auto"/>
        </w:rPr>
        <w:t>文件，不再进入评标阶段。开标过程中如有问题，可以发起在线异议，由代理机构给予对应的回复，在规定的异议询问时间内未提出异议的，则视为对开标结果无异议。</w:t>
      </w:r>
    </w:p>
    <w:p w14:paraId="4A1B2FCD">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注：任何因忽视或误解而导致</w:t>
      </w:r>
      <w:r>
        <w:rPr>
          <w:rFonts w:hint="eastAsia" w:ascii="宋体" w:hAnsi="宋体" w:eastAsia="宋体" w:cs="宋体"/>
          <w:color w:val="auto"/>
          <w:lang w:val="en-US" w:eastAsia="zh-CN"/>
        </w:rPr>
        <w:t>投标</w:t>
      </w:r>
      <w:r>
        <w:rPr>
          <w:rFonts w:hint="eastAsia" w:ascii="宋体" w:hAnsi="宋体" w:eastAsia="宋体" w:cs="宋体"/>
          <w:color w:val="auto"/>
        </w:rPr>
        <w:t>文件未上传或已上传但未按规定的操作流程及时间要求进行解密的，由供应商自行负责。</w:t>
      </w:r>
    </w:p>
    <w:p w14:paraId="22F67859">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4.发布公告的媒介：本次</w:t>
      </w:r>
      <w:r>
        <w:rPr>
          <w:rFonts w:hint="eastAsia" w:ascii="宋体" w:hAnsi="宋体" w:eastAsia="宋体" w:cs="宋体"/>
          <w:color w:val="auto"/>
          <w:lang w:val="en-US" w:eastAsia="zh-CN"/>
        </w:rPr>
        <w:t>采购招标公告</w:t>
      </w:r>
      <w:r>
        <w:rPr>
          <w:rFonts w:hint="eastAsia" w:ascii="宋体" w:hAnsi="宋体" w:eastAsia="宋体" w:cs="宋体"/>
          <w:color w:val="auto"/>
        </w:rPr>
        <w:t>同时在“政采云”平台（http：//www.zcygov.cn）、云南省政府采购网（http://www.yngp.com/）上以发布公告，我公司对其他网站转载本公告的内容不负任何责任。</w:t>
      </w:r>
    </w:p>
    <w:p w14:paraId="7E0C575C">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5.电子</w:t>
      </w:r>
      <w:r>
        <w:rPr>
          <w:rFonts w:hint="eastAsia" w:ascii="宋体" w:hAnsi="宋体" w:eastAsia="宋体" w:cs="宋体"/>
          <w:color w:val="auto"/>
          <w:lang w:val="en-US" w:eastAsia="zh-CN"/>
        </w:rPr>
        <w:t>投标</w:t>
      </w:r>
      <w:r>
        <w:rPr>
          <w:rFonts w:hint="eastAsia" w:ascii="宋体" w:hAnsi="宋体" w:eastAsia="宋体" w:cs="宋体"/>
          <w:color w:val="auto"/>
        </w:rPr>
        <w:t>文件解密</w:t>
      </w:r>
    </w:p>
    <w:p w14:paraId="048A0270">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rPr>
        <w:t>采购代理机构将依托电子交易平台发起开始解密指令，供应商的法定代表人或其委托代理人须携带加密时所用的CA锁按平台提示和采购文件的规定登录到“政采云”平台电子开标大厅签到并在发起解密指令之时起30分钟内完成对电子</w:t>
      </w:r>
      <w:r>
        <w:rPr>
          <w:rFonts w:hint="eastAsia" w:ascii="宋体" w:hAnsi="宋体" w:eastAsia="宋体" w:cs="宋体"/>
          <w:color w:val="auto"/>
          <w:lang w:val="en-US" w:eastAsia="zh-CN"/>
        </w:rPr>
        <w:t>投标</w:t>
      </w:r>
      <w:r>
        <w:rPr>
          <w:rFonts w:hint="eastAsia" w:ascii="宋体" w:hAnsi="宋体" w:eastAsia="宋体" w:cs="宋体"/>
          <w:color w:val="auto"/>
        </w:rPr>
        <w:t>文件在线解密。</w:t>
      </w:r>
      <w:r>
        <w:rPr>
          <w:rFonts w:hint="eastAsia" w:ascii="宋体" w:hAnsi="宋体" w:eastAsia="宋体" w:cs="宋体"/>
          <w:color w:val="auto"/>
          <w:lang w:val="en-US" w:eastAsia="zh-CN"/>
        </w:rPr>
        <w:t>投标</w:t>
      </w:r>
      <w:r>
        <w:rPr>
          <w:rFonts w:hint="eastAsia" w:ascii="宋体" w:hAnsi="宋体" w:eastAsia="宋体" w:cs="宋体"/>
          <w:color w:val="auto"/>
        </w:rPr>
        <w:t>文件未按时解密的，视为</w:t>
      </w:r>
      <w:r>
        <w:rPr>
          <w:rFonts w:hint="eastAsia" w:ascii="宋体" w:hAnsi="宋体" w:eastAsia="宋体" w:cs="宋体"/>
          <w:color w:val="auto"/>
          <w:lang w:val="en-US" w:eastAsia="zh-CN"/>
        </w:rPr>
        <w:t>投标</w:t>
      </w:r>
      <w:r>
        <w:rPr>
          <w:rFonts w:hint="eastAsia" w:ascii="宋体" w:hAnsi="宋体" w:eastAsia="宋体" w:cs="宋体"/>
          <w:color w:val="auto"/>
        </w:rPr>
        <w:t>文件无效。</w:t>
      </w:r>
    </w:p>
    <w:p w14:paraId="4D26DB2D">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十、补遗通知：若有变更补遗请供应商自行在云南省政府采购网、</w:t>
      </w:r>
      <w:r>
        <w:rPr>
          <w:rFonts w:hint="eastAsia" w:ascii="宋体" w:hAnsi="宋体"/>
          <w:color w:val="auto"/>
          <w:kern w:val="0"/>
          <w:sz w:val="24"/>
          <w:lang w:val="en-US" w:eastAsia="zh-CN"/>
        </w:rPr>
        <w:t>政采云平台</w:t>
      </w:r>
      <w:r>
        <w:rPr>
          <w:rFonts w:hint="eastAsia" w:ascii="宋体" w:hAnsi="宋体" w:cs="宋体"/>
          <w:color w:val="auto"/>
          <w:kern w:val="0"/>
          <w:sz w:val="24"/>
        </w:rPr>
        <w:t>上查获。</w:t>
      </w:r>
    </w:p>
    <w:p w14:paraId="2F71E4B7">
      <w:pPr>
        <w:widowControl/>
        <w:spacing w:line="336" w:lineRule="auto"/>
        <w:ind w:firstLine="480" w:firstLineChars="200"/>
        <w:jc w:val="left"/>
        <w:rPr>
          <w:rFonts w:hint="eastAsia" w:ascii="宋体" w:hAnsi="宋体" w:cs="宋体"/>
          <w:color w:val="auto"/>
          <w:kern w:val="0"/>
          <w:sz w:val="24"/>
        </w:rPr>
      </w:pPr>
    </w:p>
    <w:p w14:paraId="32694818">
      <w:pPr>
        <w:widowControl/>
        <w:spacing w:line="336"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采购人：</w:t>
      </w:r>
      <w:r>
        <w:rPr>
          <w:rFonts w:hint="eastAsia" w:ascii="宋体" w:hAnsi="宋体" w:cs="宋体"/>
          <w:color w:val="auto"/>
          <w:kern w:val="0"/>
          <w:sz w:val="24"/>
          <w:lang w:eastAsia="zh-CN"/>
        </w:rPr>
        <w:t>云南工业技师学院</w:t>
      </w:r>
      <w:r>
        <w:rPr>
          <w:rFonts w:hint="eastAsia" w:ascii="宋体" w:hAnsi="宋体" w:cs="宋体"/>
          <w:color w:val="auto"/>
          <w:kern w:val="0"/>
          <w:sz w:val="24"/>
        </w:rPr>
        <w:t xml:space="preserve">      </w:t>
      </w:r>
    </w:p>
    <w:p w14:paraId="34588B13">
      <w:pPr>
        <w:widowControl/>
        <w:spacing w:line="336" w:lineRule="auto"/>
        <w:ind w:firstLine="480" w:firstLineChars="200"/>
        <w:jc w:val="left"/>
        <w:rPr>
          <w:rFonts w:hint="eastAsia" w:ascii="宋体" w:hAnsi="宋体" w:eastAsia="宋体" w:cs="宋体"/>
          <w:color w:val="auto"/>
          <w:kern w:val="0"/>
          <w:sz w:val="24"/>
        </w:rPr>
      </w:pPr>
      <w:r>
        <w:rPr>
          <w:rFonts w:hint="eastAsia" w:ascii="宋体" w:hAnsi="宋体" w:cs="宋体"/>
          <w:color w:val="auto"/>
          <w:kern w:val="0"/>
          <w:sz w:val="24"/>
        </w:rPr>
        <w:t>地</w:t>
      </w:r>
      <w:r>
        <w:rPr>
          <w:rFonts w:hint="eastAsia" w:ascii="宋体" w:hAnsi="宋体" w:eastAsia="宋体" w:cs="宋体"/>
          <w:color w:val="auto"/>
          <w:kern w:val="0"/>
          <w:sz w:val="24"/>
          <w:lang w:eastAsia="zh-CN"/>
        </w:rPr>
        <w:t>址：曲靖市麒麟区麒麟西路392号</w:t>
      </w:r>
    </w:p>
    <w:p w14:paraId="3A61B7B8">
      <w:pPr>
        <w:widowControl/>
        <w:spacing w:line="336" w:lineRule="auto"/>
        <w:ind w:firstLine="480" w:firstLineChars="2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联系人：缪祥锐</w:t>
      </w:r>
    </w:p>
    <w:p w14:paraId="3CA78022">
      <w:pPr>
        <w:widowControl/>
        <w:spacing w:line="336" w:lineRule="auto"/>
        <w:ind w:firstLine="480" w:firstLineChars="2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联系电话：</w:t>
      </w:r>
      <w:r>
        <w:rPr>
          <w:rFonts w:hint="eastAsia" w:ascii="宋体" w:hAnsi="宋体" w:eastAsia="宋体" w:cs="宋体"/>
          <w:color w:val="auto"/>
          <w:kern w:val="0"/>
          <w:sz w:val="24"/>
          <w:lang w:val="en-US" w:eastAsia="zh-CN"/>
        </w:rPr>
        <w:t>13769691322</w:t>
      </w:r>
    </w:p>
    <w:p w14:paraId="378B32A0">
      <w:pPr>
        <w:pStyle w:val="8"/>
        <w:rPr>
          <w:rFonts w:hint="eastAsia"/>
          <w:color w:val="auto"/>
        </w:rPr>
      </w:pPr>
    </w:p>
    <w:p w14:paraId="38ADCFA8">
      <w:pPr>
        <w:widowControl/>
        <w:spacing w:line="336" w:lineRule="auto"/>
        <w:ind w:firstLine="480" w:firstLineChars="200"/>
        <w:jc w:val="left"/>
        <w:rPr>
          <w:rFonts w:hint="eastAsia" w:ascii="宋体" w:hAnsi="宋体" w:eastAsia="宋体" w:cs="宋体"/>
          <w:color w:val="auto"/>
          <w:kern w:val="0"/>
          <w:sz w:val="24"/>
          <w:lang w:eastAsia="zh-CN"/>
        </w:rPr>
      </w:pPr>
      <w:r>
        <w:rPr>
          <w:rFonts w:hint="eastAsia" w:ascii="宋体" w:hAnsi="宋体" w:cs="宋体"/>
          <w:color w:val="auto"/>
          <w:kern w:val="0"/>
          <w:sz w:val="24"/>
        </w:rPr>
        <w:t>代理机构：</w:t>
      </w:r>
      <w:r>
        <w:rPr>
          <w:rFonts w:hint="eastAsia" w:ascii="宋体" w:hAnsi="宋体" w:cs="宋体"/>
          <w:color w:val="auto"/>
          <w:kern w:val="0"/>
          <w:sz w:val="24"/>
          <w:lang w:eastAsia="zh-CN"/>
        </w:rPr>
        <w:t>云南荣腾工程管理咨询有限公司</w:t>
      </w:r>
    </w:p>
    <w:p w14:paraId="0AB43D8B">
      <w:pPr>
        <w:widowControl/>
        <w:spacing w:line="336"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地址：</w:t>
      </w:r>
      <w:r>
        <w:rPr>
          <w:rFonts w:hint="eastAsia" w:ascii="宋体" w:hAnsi="宋体" w:eastAsia="宋体" w:cs="宋体"/>
          <w:color w:val="auto"/>
          <w:sz w:val="24"/>
        </w:rPr>
        <w:t>曲靖市麒麟区三江大道17号蓝光雅苑10栋1-6号商铺</w:t>
      </w:r>
    </w:p>
    <w:p w14:paraId="1987687A">
      <w:pPr>
        <w:widowControl/>
        <w:spacing w:line="336" w:lineRule="auto"/>
        <w:ind w:firstLine="480" w:firstLineChars="200"/>
        <w:jc w:val="left"/>
        <w:rPr>
          <w:rFonts w:hint="eastAsia" w:ascii="宋体" w:hAnsi="宋体" w:eastAsia="宋体" w:cs="宋体"/>
          <w:color w:val="auto"/>
          <w:kern w:val="0"/>
          <w:sz w:val="24"/>
          <w:lang w:eastAsia="zh-CN"/>
        </w:rPr>
      </w:pPr>
      <w:r>
        <w:rPr>
          <w:rFonts w:hint="eastAsia" w:ascii="宋体" w:hAnsi="宋体" w:cs="宋体"/>
          <w:color w:val="auto"/>
          <w:kern w:val="0"/>
          <w:sz w:val="24"/>
        </w:rPr>
        <w:t>联系人：</w:t>
      </w:r>
      <w:r>
        <w:rPr>
          <w:rFonts w:hint="eastAsia" w:ascii="宋体" w:hAnsi="宋体" w:cs="宋体"/>
          <w:color w:val="auto"/>
          <w:kern w:val="0"/>
          <w:sz w:val="24"/>
          <w:lang w:val="en-US" w:eastAsia="zh-CN"/>
        </w:rPr>
        <w:t>刘阳</w:t>
      </w:r>
    </w:p>
    <w:p w14:paraId="46FE6F22">
      <w:pPr>
        <w:widowControl/>
        <w:spacing w:line="336"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rPr>
        <w:t>联系电话：0874-3314886</w:t>
      </w:r>
      <w:r>
        <w:rPr>
          <w:rFonts w:hint="eastAsia" w:ascii="宋体" w:hAnsi="宋体" w:cs="宋体"/>
          <w:color w:val="auto"/>
          <w:kern w:val="0"/>
          <w:sz w:val="24"/>
          <w:lang w:val="en-US" w:eastAsia="zh-CN"/>
        </w:rPr>
        <w:t xml:space="preserve"> 18687442145</w:t>
      </w:r>
    </w:p>
    <w:p w14:paraId="6C82BFF9">
      <w:pPr>
        <w:widowControl/>
        <w:spacing w:line="240" w:lineRule="atLeast"/>
        <w:jc w:val="center"/>
        <w:outlineLvl w:val="0"/>
        <w:rPr>
          <w:rFonts w:ascii="宋体" w:hAnsi="宋体"/>
          <w:b/>
          <w:color w:val="auto"/>
          <w:sz w:val="30"/>
          <w:szCs w:val="30"/>
        </w:rPr>
      </w:pPr>
      <w:bookmarkStart w:id="7" w:name="_Toc14527"/>
      <w:r>
        <w:rPr>
          <w:rFonts w:hint="eastAsia" w:ascii="宋体" w:hAnsi="宋体" w:cs="宋体"/>
          <w:b/>
          <w:bCs/>
          <w:color w:val="auto"/>
          <w:kern w:val="0"/>
          <w:sz w:val="30"/>
          <w:szCs w:val="30"/>
        </w:rPr>
        <w:t xml:space="preserve">第二章   </w:t>
      </w:r>
      <w:r>
        <w:rPr>
          <w:rFonts w:hint="eastAsia" w:ascii="宋体" w:hAnsi="宋体"/>
          <w:b/>
          <w:color w:val="auto"/>
          <w:sz w:val="30"/>
          <w:szCs w:val="30"/>
        </w:rPr>
        <w:t>投标须知前附表及投标须知</w:t>
      </w:r>
      <w:bookmarkEnd w:id="7"/>
    </w:p>
    <w:tbl>
      <w:tblPr>
        <w:tblStyle w:val="22"/>
        <w:tblW w:w="10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348"/>
        <w:gridCol w:w="164"/>
        <w:gridCol w:w="7515"/>
      </w:tblGrid>
      <w:tr w14:paraId="1049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83" w:type="dxa"/>
            <w:noWrap w:val="0"/>
            <w:vAlign w:val="center"/>
          </w:tcPr>
          <w:p w14:paraId="5C74F2C5">
            <w:pPr>
              <w:jc w:val="center"/>
              <w:rPr>
                <w:color w:val="auto"/>
              </w:rPr>
            </w:pPr>
            <w:bookmarkStart w:id="8" w:name="_Hlk491439397"/>
            <w:bookmarkStart w:id="9" w:name="_Toc28490"/>
            <w:r>
              <w:rPr>
                <w:rFonts w:hint="eastAsia"/>
                <w:color w:val="auto"/>
              </w:rPr>
              <w:t>条款号</w:t>
            </w:r>
          </w:p>
        </w:tc>
        <w:tc>
          <w:tcPr>
            <w:tcW w:w="1512" w:type="dxa"/>
            <w:gridSpan w:val="2"/>
            <w:noWrap w:val="0"/>
            <w:vAlign w:val="center"/>
          </w:tcPr>
          <w:p w14:paraId="19098EF2">
            <w:pPr>
              <w:jc w:val="center"/>
              <w:rPr>
                <w:color w:val="auto"/>
              </w:rPr>
            </w:pPr>
            <w:r>
              <w:rPr>
                <w:rFonts w:hint="eastAsia"/>
                <w:color w:val="auto"/>
              </w:rPr>
              <w:t>条 款 名 称</w:t>
            </w:r>
          </w:p>
        </w:tc>
        <w:tc>
          <w:tcPr>
            <w:tcW w:w="7515" w:type="dxa"/>
            <w:noWrap w:val="0"/>
            <w:vAlign w:val="center"/>
          </w:tcPr>
          <w:p w14:paraId="45FAD314">
            <w:pPr>
              <w:jc w:val="center"/>
              <w:rPr>
                <w:color w:val="auto"/>
              </w:rPr>
            </w:pPr>
            <w:r>
              <w:rPr>
                <w:rFonts w:hint="eastAsia"/>
                <w:color w:val="auto"/>
              </w:rPr>
              <w:t>编  列  内  容</w:t>
            </w:r>
          </w:p>
        </w:tc>
      </w:tr>
      <w:bookmarkEnd w:id="8"/>
      <w:tr w14:paraId="10EB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noWrap w:val="0"/>
            <w:vAlign w:val="center"/>
          </w:tcPr>
          <w:p w14:paraId="700848FC">
            <w:pPr>
              <w:spacing w:line="300" w:lineRule="auto"/>
              <w:jc w:val="center"/>
              <w:rPr>
                <w:rFonts w:hint="default" w:eastAsia="宋体"/>
                <w:color w:val="auto"/>
                <w:lang w:val="en-US" w:eastAsia="zh-CN"/>
              </w:rPr>
            </w:pPr>
            <w:r>
              <w:rPr>
                <w:rFonts w:hint="eastAsia"/>
                <w:color w:val="auto"/>
                <w:lang w:val="en-US" w:eastAsia="zh-CN"/>
              </w:rPr>
              <w:t>1.1</w:t>
            </w:r>
          </w:p>
        </w:tc>
        <w:tc>
          <w:tcPr>
            <w:tcW w:w="1512" w:type="dxa"/>
            <w:gridSpan w:val="2"/>
            <w:noWrap w:val="0"/>
            <w:vAlign w:val="center"/>
          </w:tcPr>
          <w:p w14:paraId="684F14B3">
            <w:pPr>
              <w:spacing w:line="300" w:lineRule="auto"/>
              <w:jc w:val="center"/>
              <w:rPr>
                <w:color w:val="auto"/>
              </w:rPr>
            </w:pPr>
            <w:r>
              <w:rPr>
                <w:rFonts w:hint="eastAsia"/>
                <w:color w:val="auto"/>
              </w:rPr>
              <w:t>采购人</w:t>
            </w:r>
          </w:p>
        </w:tc>
        <w:tc>
          <w:tcPr>
            <w:tcW w:w="7515" w:type="dxa"/>
            <w:noWrap w:val="0"/>
            <w:vAlign w:val="center"/>
          </w:tcPr>
          <w:p w14:paraId="325A08C7">
            <w:pPr>
              <w:spacing w:line="360" w:lineRule="exact"/>
              <w:rPr>
                <w:rFonts w:hint="eastAsia" w:ascii="Times New Roman" w:hAnsi="Times New Roman" w:eastAsia="宋体" w:cs="Times New Roman"/>
                <w:color w:val="auto"/>
                <w:lang w:eastAsia="zh-CN"/>
              </w:rPr>
            </w:pPr>
            <w:r>
              <w:rPr>
                <w:rFonts w:ascii="Times New Roman" w:hAnsi="Times New Roman" w:eastAsia="宋体" w:cs="Times New Roman"/>
                <w:color w:val="auto"/>
              </w:rPr>
              <w:t>名    称：</w:t>
            </w:r>
            <w:r>
              <w:rPr>
                <w:rFonts w:hint="eastAsia" w:ascii="Times New Roman" w:hAnsi="Times New Roman" w:eastAsia="宋体" w:cs="Times New Roman"/>
                <w:color w:val="auto"/>
                <w:lang w:val="en-US" w:eastAsia="zh-CN"/>
              </w:rPr>
              <w:t>云南工业技师学院</w:t>
            </w:r>
          </w:p>
          <w:p w14:paraId="3A29A760">
            <w:pPr>
              <w:spacing w:line="360" w:lineRule="exact"/>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地    址：曲靖市麒麟区麒麟西路392号</w:t>
            </w:r>
          </w:p>
          <w:p w14:paraId="667D852E">
            <w:pPr>
              <w:spacing w:line="36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联系人：缪祥锐</w:t>
            </w:r>
          </w:p>
          <w:p w14:paraId="7696B5B5">
            <w:pPr>
              <w:spacing w:line="360" w:lineRule="exact"/>
              <w:rPr>
                <w:rFonts w:hint="eastAsia" w:eastAsia="宋体"/>
                <w:color w:val="auto"/>
                <w:lang w:eastAsia="zh-CN"/>
              </w:rPr>
            </w:pPr>
            <w:r>
              <w:rPr>
                <w:rFonts w:hint="eastAsia" w:ascii="Times New Roman" w:hAnsi="Times New Roman" w:eastAsia="宋体" w:cs="Times New Roman"/>
                <w:color w:val="auto"/>
                <w:lang w:eastAsia="zh-CN"/>
              </w:rPr>
              <w:t>联系电话：</w:t>
            </w:r>
            <w:r>
              <w:rPr>
                <w:rFonts w:hint="eastAsia" w:ascii="Times New Roman" w:hAnsi="Times New Roman" w:eastAsia="宋体" w:cs="Times New Roman"/>
                <w:color w:val="auto"/>
                <w:lang w:val="en-US" w:eastAsia="zh-CN"/>
              </w:rPr>
              <w:t>13769691322</w:t>
            </w:r>
          </w:p>
        </w:tc>
      </w:tr>
      <w:tr w14:paraId="6899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083" w:type="dxa"/>
            <w:noWrap w:val="0"/>
            <w:vAlign w:val="center"/>
          </w:tcPr>
          <w:p w14:paraId="70CA99EB">
            <w:pPr>
              <w:spacing w:line="300" w:lineRule="auto"/>
              <w:jc w:val="center"/>
              <w:rPr>
                <w:rFonts w:hint="default" w:eastAsia="宋体"/>
                <w:color w:val="auto"/>
                <w:lang w:val="en-US" w:eastAsia="zh-CN"/>
              </w:rPr>
            </w:pPr>
            <w:r>
              <w:rPr>
                <w:rFonts w:hint="eastAsia"/>
                <w:color w:val="auto"/>
                <w:lang w:val="en-US" w:eastAsia="zh-CN"/>
              </w:rPr>
              <w:t>2.1</w:t>
            </w:r>
          </w:p>
        </w:tc>
        <w:tc>
          <w:tcPr>
            <w:tcW w:w="1512" w:type="dxa"/>
            <w:gridSpan w:val="2"/>
            <w:noWrap w:val="0"/>
            <w:vAlign w:val="center"/>
          </w:tcPr>
          <w:p w14:paraId="18DDCCEB">
            <w:pPr>
              <w:spacing w:line="300" w:lineRule="auto"/>
              <w:jc w:val="center"/>
              <w:rPr>
                <w:color w:val="auto"/>
              </w:rPr>
            </w:pPr>
            <w:r>
              <w:rPr>
                <w:rFonts w:hint="eastAsia"/>
                <w:color w:val="auto"/>
              </w:rPr>
              <w:t>采购代理机构</w:t>
            </w:r>
          </w:p>
        </w:tc>
        <w:tc>
          <w:tcPr>
            <w:tcW w:w="7515" w:type="dxa"/>
            <w:noWrap w:val="0"/>
            <w:vAlign w:val="center"/>
          </w:tcPr>
          <w:p w14:paraId="2493AAB4">
            <w:pPr>
              <w:spacing w:line="360" w:lineRule="exact"/>
              <w:rPr>
                <w:rFonts w:hint="eastAsia" w:eastAsia="宋体"/>
                <w:color w:val="auto"/>
              </w:rPr>
            </w:pPr>
            <w:r>
              <w:rPr>
                <w:rFonts w:hint="eastAsia" w:eastAsia="宋体"/>
                <w:color w:val="auto"/>
              </w:rPr>
              <w:t>名     称：</w:t>
            </w:r>
            <w:r>
              <w:rPr>
                <w:rFonts w:hint="eastAsia" w:eastAsia="宋体"/>
                <w:color w:val="auto"/>
                <w:lang w:val="en-US" w:eastAsia="zh-CN"/>
              </w:rPr>
              <w:t>云南荣腾工程管理咨询有限公司</w:t>
            </w:r>
          </w:p>
          <w:p w14:paraId="3CCA56A8">
            <w:pPr>
              <w:spacing w:line="360" w:lineRule="exact"/>
              <w:rPr>
                <w:rFonts w:hint="eastAsia" w:eastAsia="宋体"/>
                <w:color w:val="auto"/>
              </w:rPr>
            </w:pPr>
            <w:r>
              <w:rPr>
                <w:rFonts w:hint="eastAsia" w:eastAsia="宋体"/>
                <w:color w:val="auto"/>
              </w:rPr>
              <w:t>地　  址：曲靖市麒麟区三江大道17号蓝光雅苑10栋1-6号商铺</w:t>
            </w:r>
          </w:p>
          <w:p w14:paraId="39A802B5">
            <w:pPr>
              <w:spacing w:line="360" w:lineRule="exact"/>
              <w:rPr>
                <w:rFonts w:hint="eastAsia" w:eastAsia="宋体"/>
                <w:color w:val="auto"/>
              </w:rPr>
            </w:pPr>
            <w:r>
              <w:rPr>
                <w:rFonts w:hint="eastAsia" w:eastAsia="宋体"/>
                <w:color w:val="auto"/>
              </w:rPr>
              <w:t>联 系 人：</w:t>
            </w:r>
            <w:r>
              <w:rPr>
                <w:rFonts w:hint="eastAsia" w:eastAsia="宋体"/>
                <w:color w:val="auto"/>
                <w:lang w:val="en-US" w:eastAsia="zh-CN"/>
              </w:rPr>
              <w:t>刘阳</w:t>
            </w:r>
          </w:p>
          <w:p w14:paraId="4B4A3C94">
            <w:pPr>
              <w:spacing w:line="360" w:lineRule="exact"/>
              <w:rPr>
                <w:rFonts w:hint="default" w:eastAsia="宋体"/>
                <w:color w:val="auto"/>
                <w:lang w:val="en-US" w:eastAsia="zh-CN"/>
              </w:rPr>
            </w:pPr>
            <w:r>
              <w:rPr>
                <w:rFonts w:hint="eastAsia" w:eastAsia="宋体"/>
                <w:color w:val="auto"/>
              </w:rPr>
              <w:t>联系方式：</w:t>
            </w:r>
            <w:r>
              <w:rPr>
                <w:rFonts w:hint="eastAsia" w:eastAsia="宋体"/>
                <w:color w:val="auto"/>
                <w:lang w:val="en-US" w:eastAsia="zh-CN"/>
              </w:rPr>
              <w:t>0874-3314886  18687442145</w:t>
            </w:r>
          </w:p>
        </w:tc>
      </w:tr>
      <w:tr w14:paraId="7C37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1083" w:type="dxa"/>
            <w:noWrap w:val="0"/>
            <w:vAlign w:val="center"/>
          </w:tcPr>
          <w:p w14:paraId="6C415727">
            <w:pPr>
              <w:spacing w:line="300" w:lineRule="auto"/>
              <w:jc w:val="center"/>
              <w:rPr>
                <w:rFonts w:hint="default" w:eastAsia="宋体"/>
                <w:color w:val="auto"/>
                <w:lang w:val="en-US" w:eastAsia="zh-CN"/>
              </w:rPr>
            </w:pPr>
            <w:r>
              <w:rPr>
                <w:rFonts w:hint="eastAsia"/>
                <w:color w:val="auto"/>
                <w:lang w:val="en-US" w:eastAsia="zh-CN"/>
              </w:rPr>
              <w:t>3.1</w:t>
            </w:r>
          </w:p>
        </w:tc>
        <w:tc>
          <w:tcPr>
            <w:tcW w:w="1512" w:type="dxa"/>
            <w:gridSpan w:val="2"/>
            <w:noWrap w:val="0"/>
            <w:vAlign w:val="center"/>
          </w:tcPr>
          <w:p w14:paraId="216F3F77">
            <w:pPr>
              <w:spacing w:line="300" w:lineRule="auto"/>
              <w:jc w:val="center"/>
              <w:rPr>
                <w:color w:val="auto"/>
              </w:rPr>
            </w:pPr>
            <w:r>
              <w:rPr>
                <w:rFonts w:hint="eastAsia"/>
                <w:color w:val="auto"/>
              </w:rPr>
              <w:t>项目名称</w:t>
            </w:r>
          </w:p>
        </w:tc>
        <w:tc>
          <w:tcPr>
            <w:tcW w:w="7515" w:type="dxa"/>
            <w:noWrap w:val="0"/>
            <w:vAlign w:val="center"/>
          </w:tcPr>
          <w:p w14:paraId="7966FE53">
            <w:pPr>
              <w:spacing w:line="360" w:lineRule="exact"/>
              <w:rPr>
                <w:rFonts w:hint="eastAsia" w:ascii="Times New Roman" w:hAnsi="Times New Roman" w:eastAsia="宋体" w:cs="Times New Roman"/>
                <w:color w:val="auto"/>
                <w:lang w:eastAsia="zh-CN"/>
              </w:rPr>
            </w:pPr>
            <w:r>
              <w:rPr>
                <w:rFonts w:hint="eastAsia" w:cs="Times New Roman"/>
                <w:color w:val="auto"/>
                <w:lang w:eastAsia="zh-CN"/>
              </w:rPr>
              <w:t>云南工业技师学院（太和校区）计算机网络技术实训设备采购（二次）</w:t>
            </w:r>
          </w:p>
        </w:tc>
      </w:tr>
      <w:tr w14:paraId="333E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083" w:type="dxa"/>
            <w:noWrap w:val="0"/>
            <w:vAlign w:val="center"/>
          </w:tcPr>
          <w:p w14:paraId="1A6BBBCE">
            <w:pPr>
              <w:spacing w:line="300" w:lineRule="auto"/>
              <w:jc w:val="center"/>
              <w:rPr>
                <w:rFonts w:hint="default" w:eastAsia="宋体"/>
                <w:color w:val="auto"/>
                <w:lang w:val="en-US" w:eastAsia="zh-CN"/>
              </w:rPr>
            </w:pPr>
            <w:r>
              <w:rPr>
                <w:rFonts w:hint="eastAsia"/>
                <w:color w:val="auto"/>
                <w:lang w:val="en-US" w:eastAsia="zh-CN"/>
              </w:rPr>
              <w:t>4.1</w:t>
            </w:r>
          </w:p>
        </w:tc>
        <w:tc>
          <w:tcPr>
            <w:tcW w:w="1512" w:type="dxa"/>
            <w:gridSpan w:val="2"/>
            <w:noWrap w:val="0"/>
            <w:vAlign w:val="center"/>
          </w:tcPr>
          <w:p w14:paraId="228CFDD9">
            <w:pPr>
              <w:spacing w:line="300" w:lineRule="auto"/>
              <w:jc w:val="center"/>
              <w:rPr>
                <w:color w:val="auto"/>
              </w:rPr>
            </w:pPr>
            <w:r>
              <w:rPr>
                <w:rFonts w:hint="eastAsia" w:ascii="Times New Roman" w:hAnsi="Times New Roman" w:eastAsia="宋体" w:cs="Times New Roman"/>
                <w:color w:val="auto"/>
              </w:rPr>
              <w:t>资金来源</w:t>
            </w:r>
          </w:p>
        </w:tc>
        <w:tc>
          <w:tcPr>
            <w:tcW w:w="7515" w:type="dxa"/>
            <w:noWrap w:val="0"/>
            <w:vAlign w:val="center"/>
          </w:tcPr>
          <w:p w14:paraId="5A0911F1">
            <w:pPr>
              <w:spacing w:line="36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财政资金</w:t>
            </w:r>
          </w:p>
        </w:tc>
      </w:tr>
      <w:tr w14:paraId="446D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dxa"/>
            <w:noWrap w:val="0"/>
            <w:vAlign w:val="center"/>
          </w:tcPr>
          <w:p w14:paraId="48C3359A">
            <w:pPr>
              <w:spacing w:line="300" w:lineRule="auto"/>
              <w:jc w:val="center"/>
              <w:rPr>
                <w:rFonts w:hint="default" w:eastAsia="宋体"/>
                <w:color w:val="auto"/>
                <w:lang w:val="en-US" w:eastAsia="zh-CN"/>
              </w:rPr>
            </w:pPr>
            <w:r>
              <w:rPr>
                <w:rFonts w:hint="eastAsia"/>
                <w:color w:val="auto"/>
                <w:lang w:val="en-US" w:eastAsia="zh-CN"/>
              </w:rPr>
              <w:t>5.1</w:t>
            </w:r>
          </w:p>
        </w:tc>
        <w:tc>
          <w:tcPr>
            <w:tcW w:w="1512" w:type="dxa"/>
            <w:gridSpan w:val="2"/>
            <w:noWrap w:val="0"/>
            <w:vAlign w:val="center"/>
          </w:tcPr>
          <w:p w14:paraId="321E38C3">
            <w:pPr>
              <w:spacing w:line="300" w:lineRule="auto"/>
              <w:jc w:val="center"/>
              <w:rPr>
                <w:color w:val="auto"/>
              </w:rPr>
            </w:pPr>
            <w:r>
              <w:rPr>
                <w:rFonts w:hint="eastAsia"/>
                <w:color w:val="auto"/>
              </w:rPr>
              <w:t>出资比例</w:t>
            </w:r>
          </w:p>
        </w:tc>
        <w:tc>
          <w:tcPr>
            <w:tcW w:w="7515" w:type="dxa"/>
            <w:noWrap w:val="0"/>
            <w:vAlign w:val="center"/>
          </w:tcPr>
          <w:p w14:paraId="1D626DAA">
            <w:pPr>
              <w:spacing w:line="300" w:lineRule="auto"/>
              <w:rPr>
                <w:color w:val="auto"/>
              </w:rPr>
            </w:pPr>
            <w:r>
              <w:rPr>
                <w:rFonts w:hint="eastAsia"/>
                <w:color w:val="auto"/>
              </w:rPr>
              <w:t>100%</w:t>
            </w:r>
          </w:p>
        </w:tc>
      </w:tr>
      <w:tr w14:paraId="2E33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dxa"/>
            <w:noWrap w:val="0"/>
            <w:vAlign w:val="center"/>
          </w:tcPr>
          <w:p w14:paraId="692587DD">
            <w:pPr>
              <w:spacing w:line="300" w:lineRule="auto"/>
              <w:jc w:val="center"/>
              <w:rPr>
                <w:rFonts w:hint="default" w:eastAsia="宋体"/>
                <w:color w:val="auto"/>
                <w:lang w:val="en-US" w:eastAsia="zh-CN"/>
              </w:rPr>
            </w:pPr>
            <w:r>
              <w:rPr>
                <w:rFonts w:hint="eastAsia"/>
                <w:color w:val="auto"/>
                <w:lang w:val="en-US" w:eastAsia="zh-CN"/>
              </w:rPr>
              <w:t>6.1</w:t>
            </w:r>
          </w:p>
        </w:tc>
        <w:tc>
          <w:tcPr>
            <w:tcW w:w="1512" w:type="dxa"/>
            <w:gridSpan w:val="2"/>
            <w:noWrap w:val="0"/>
            <w:vAlign w:val="center"/>
          </w:tcPr>
          <w:p w14:paraId="01A0147E">
            <w:pPr>
              <w:spacing w:line="300" w:lineRule="auto"/>
              <w:jc w:val="center"/>
              <w:rPr>
                <w:color w:val="auto"/>
              </w:rPr>
            </w:pPr>
            <w:r>
              <w:rPr>
                <w:rFonts w:hint="eastAsia"/>
                <w:color w:val="auto"/>
              </w:rPr>
              <w:t>资金落实情况</w:t>
            </w:r>
          </w:p>
        </w:tc>
        <w:tc>
          <w:tcPr>
            <w:tcW w:w="7515" w:type="dxa"/>
            <w:noWrap w:val="0"/>
            <w:vAlign w:val="center"/>
          </w:tcPr>
          <w:p w14:paraId="0B20DA43">
            <w:pPr>
              <w:spacing w:line="300" w:lineRule="auto"/>
              <w:rPr>
                <w:color w:val="auto"/>
              </w:rPr>
            </w:pPr>
            <w:r>
              <w:rPr>
                <w:rFonts w:hint="eastAsia"/>
                <w:color w:val="auto"/>
              </w:rPr>
              <w:t>已落实</w:t>
            </w:r>
          </w:p>
        </w:tc>
      </w:tr>
      <w:tr w14:paraId="4F90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83" w:type="dxa"/>
            <w:noWrap w:val="0"/>
            <w:vAlign w:val="center"/>
          </w:tcPr>
          <w:p w14:paraId="2401C47B">
            <w:pPr>
              <w:spacing w:line="300" w:lineRule="auto"/>
              <w:jc w:val="center"/>
              <w:rPr>
                <w:rFonts w:hint="default" w:eastAsia="宋体"/>
                <w:color w:val="auto"/>
                <w:lang w:val="en-US" w:eastAsia="zh-CN"/>
              </w:rPr>
            </w:pPr>
            <w:r>
              <w:rPr>
                <w:rFonts w:hint="eastAsia"/>
                <w:color w:val="auto"/>
                <w:lang w:val="en-US" w:eastAsia="zh-CN"/>
              </w:rPr>
              <w:t>7.1</w:t>
            </w:r>
          </w:p>
        </w:tc>
        <w:tc>
          <w:tcPr>
            <w:tcW w:w="1512" w:type="dxa"/>
            <w:gridSpan w:val="2"/>
            <w:noWrap w:val="0"/>
            <w:vAlign w:val="center"/>
          </w:tcPr>
          <w:p w14:paraId="76085AD5">
            <w:pPr>
              <w:spacing w:line="300" w:lineRule="auto"/>
              <w:jc w:val="center"/>
              <w:rPr>
                <w:rFonts w:hint="eastAsia" w:eastAsia="宋体"/>
                <w:color w:val="auto"/>
              </w:rPr>
            </w:pPr>
            <w:r>
              <w:rPr>
                <w:rFonts w:hint="eastAsia" w:eastAsia="宋体"/>
                <w:color w:val="auto"/>
              </w:rPr>
              <w:t>采购内容</w:t>
            </w:r>
          </w:p>
        </w:tc>
        <w:tc>
          <w:tcPr>
            <w:tcW w:w="7515" w:type="dxa"/>
            <w:noWrap w:val="0"/>
            <w:vAlign w:val="center"/>
          </w:tcPr>
          <w:p w14:paraId="5D23B860">
            <w:pPr>
              <w:spacing w:line="300" w:lineRule="auto"/>
              <w:jc w:val="left"/>
              <w:rPr>
                <w:rFonts w:hint="eastAsia" w:eastAsia="宋体"/>
                <w:color w:val="auto"/>
              </w:rPr>
            </w:pPr>
            <w:r>
              <w:rPr>
                <w:rFonts w:hint="eastAsia" w:ascii="Times New Roman" w:hAnsi="Times New Roman" w:eastAsia="宋体" w:cs="Times New Roman"/>
                <w:color w:val="auto"/>
                <w:lang w:val="en-US" w:eastAsia="zh-CN"/>
              </w:rPr>
              <w:t>采购实训一体机4台、实训一体机交换机2台、虚拟仿真平台（配套课程资源）1套，采购预算价：含税最高采购预算价215.00万元。</w:t>
            </w:r>
          </w:p>
        </w:tc>
      </w:tr>
      <w:tr w14:paraId="3004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83" w:type="dxa"/>
            <w:noWrap w:val="0"/>
            <w:vAlign w:val="center"/>
          </w:tcPr>
          <w:p w14:paraId="695D3444">
            <w:pPr>
              <w:spacing w:line="300" w:lineRule="auto"/>
              <w:jc w:val="center"/>
              <w:rPr>
                <w:rFonts w:hint="default" w:eastAsia="宋体"/>
                <w:color w:val="auto"/>
                <w:lang w:val="en-US" w:eastAsia="zh-CN"/>
              </w:rPr>
            </w:pPr>
            <w:r>
              <w:rPr>
                <w:rFonts w:hint="eastAsia"/>
                <w:color w:val="auto"/>
                <w:lang w:val="en-US" w:eastAsia="zh-CN"/>
              </w:rPr>
              <w:t>8.1</w:t>
            </w:r>
          </w:p>
        </w:tc>
        <w:tc>
          <w:tcPr>
            <w:tcW w:w="1512" w:type="dxa"/>
            <w:gridSpan w:val="2"/>
            <w:noWrap w:val="0"/>
            <w:vAlign w:val="center"/>
          </w:tcPr>
          <w:p w14:paraId="6C016656">
            <w:pPr>
              <w:spacing w:line="30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供货时间</w:t>
            </w:r>
          </w:p>
        </w:tc>
        <w:tc>
          <w:tcPr>
            <w:tcW w:w="7515" w:type="dxa"/>
            <w:noWrap w:val="0"/>
            <w:vAlign w:val="center"/>
          </w:tcPr>
          <w:p w14:paraId="4C8AC220">
            <w:pPr>
              <w:spacing w:line="300" w:lineRule="auto"/>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合同签订后30天内按采购人要求完成供货、安装、调试并保证可用。</w:t>
            </w:r>
          </w:p>
        </w:tc>
      </w:tr>
      <w:tr w14:paraId="4765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83" w:type="dxa"/>
            <w:noWrap w:val="0"/>
            <w:vAlign w:val="center"/>
          </w:tcPr>
          <w:p w14:paraId="3DEBFA43">
            <w:pPr>
              <w:spacing w:line="300" w:lineRule="auto"/>
              <w:jc w:val="center"/>
              <w:rPr>
                <w:rFonts w:hint="default" w:eastAsia="宋体"/>
                <w:color w:val="auto"/>
                <w:lang w:val="en-US" w:eastAsia="zh-CN"/>
              </w:rPr>
            </w:pPr>
            <w:r>
              <w:rPr>
                <w:rFonts w:hint="eastAsia"/>
                <w:color w:val="auto"/>
                <w:lang w:val="en-US" w:eastAsia="zh-CN"/>
              </w:rPr>
              <w:t>9.1</w:t>
            </w:r>
          </w:p>
        </w:tc>
        <w:tc>
          <w:tcPr>
            <w:tcW w:w="1512" w:type="dxa"/>
            <w:gridSpan w:val="2"/>
            <w:noWrap w:val="0"/>
            <w:vAlign w:val="center"/>
          </w:tcPr>
          <w:p w14:paraId="6DB5857F">
            <w:pPr>
              <w:spacing w:line="300" w:lineRule="auto"/>
              <w:jc w:val="center"/>
              <w:rPr>
                <w:color w:val="auto"/>
              </w:rPr>
            </w:pPr>
            <w:r>
              <w:rPr>
                <w:rFonts w:hint="eastAsia"/>
                <w:color w:val="auto"/>
                <w:lang w:val="en-US" w:eastAsia="zh-CN"/>
              </w:rPr>
              <w:t>交货</w:t>
            </w:r>
            <w:r>
              <w:rPr>
                <w:rFonts w:hint="eastAsia"/>
                <w:color w:val="auto"/>
              </w:rPr>
              <w:t>地点</w:t>
            </w:r>
          </w:p>
        </w:tc>
        <w:tc>
          <w:tcPr>
            <w:tcW w:w="7515" w:type="dxa"/>
            <w:noWrap w:val="0"/>
            <w:vAlign w:val="center"/>
          </w:tcPr>
          <w:p w14:paraId="360D835A">
            <w:pPr>
              <w:spacing w:line="300" w:lineRule="auto"/>
              <w:rPr>
                <w:rFonts w:hint="default" w:eastAsia="宋体"/>
                <w:color w:val="auto"/>
                <w:lang w:val="en-US" w:eastAsia="zh-CN"/>
              </w:rPr>
            </w:pPr>
            <w:r>
              <w:rPr>
                <w:rFonts w:hint="eastAsia"/>
                <w:color w:val="auto"/>
                <w:lang w:val="en-US" w:eastAsia="zh-CN"/>
              </w:rPr>
              <w:t>采购人指定地点</w:t>
            </w:r>
          </w:p>
        </w:tc>
      </w:tr>
      <w:tr w14:paraId="7704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14:paraId="06231651">
            <w:pPr>
              <w:spacing w:line="300" w:lineRule="auto"/>
              <w:jc w:val="center"/>
              <w:rPr>
                <w:rFonts w:hint="default" w:eastAsia="宋体"/>
                <w:color w:val="auto"/>
                <w:lang w:val="en-US" w:eastAsia="zh-CN"/>
              </w:rPr>
            </w:pPr>
            <w:r>
              <w:rPr>
                <w:rFonts w:hint="eastAsia"/>
                <w:color w:val="auto"/>
                <w:lang w:val="en-US" w:eastAsia="zh-CN"/>
              </w:rPr>
              <w:t>10.1</w:t>
            </w:r>
          </w:p>
        </w:tc>
        <w:tc>
          <w:tcPr>
            <w:tcW w:w="1512" w:type="dxa"/>
            <w:gridSpan w:val="2"/>
            <w:tcBorders>
              <w:top w:val="single" w:color="auto" w:sz="4" w:space="0"/>
              <w:left w:val="single" w:color="auto" w:sz="4" w:space="0"/>
              <w:bottom w:val="single" w:color="auto" w:sz="4" w:space="0"/>
              <w:right w:val="single" w:color="auto" w:sz="4" w:space="0"/>
            </w:tcBorders>
            <w:noWrap w:val="0"/>
            <w:vAlign w:val="center"/>
          </w:tcPr>
          <w:p w14:paraId="2C0C3869">
            <w:pPr>
              <w:spacing w:line="300" w:lineRule="auto"/>
              <w:jc w:val="center"/>
              <w:rPr>
                <w:color w:val="auto"/>
              </w:rPr>
            </w:pPr>
            <w:r>
              <w:rPr>
                <w:rFonts w:hint="eastAsia"/>
                <w:color w:val="auto"/>
              </w:rPr>
              <w:t>供应商资格条件</w:t>
            </w:r>
          </w:p>
        </w:tc>
        <w:tc>
          <w:tcPr>
            <w:tcW w:w="7515" w:type="dxa"/>
            <w:tcBorders>
              <w:top w:val="single" w:color="auto" w:sz="4" w:space="0"/>
              <w:left w:val="single" w:color="auto" w:sz="4" w:space="0"/>
              <w:bottom w:val="single" w:color="auto" w:sz="4" w:space="0"/>
              <w:right w:val="single" w:color="auto" w:sz="4" w:space="0"/>
            </w:tcBorders>
            <w:noWrap w:val="0"/>
            <w:vAlign w:val="center"/>
          </w:tcPr>
          <w:p w14:paraId="1BA30E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参与投标的供应商必须具备《政府采购法》第二十二条规定的条件，依据《曲靖市财政局关于对政府采购供应商资格条件试行“承诺+信用管理”准入管理制的通知》(曲财采【2023】16号)规定，在政府采购活动中，供应商只需在资格审查环节提供满足下列相应条件的资格承诺函，不再需要提供相应证明资料:</w:t>
            </w:r>
          </w:p>
          <w:p w14:paraId="7D5307F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（1）具有独立承担民事责任的能力；</w:t>
            </w:r>
          </w:p>
          <w:p w14:paraId="33EEBD9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（2）具有良好的商业信誉和健全的财务会计制度；</w:t>
            </w:r>
          </w:p>
          <w:p w14:paraId="5A6341D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（3）有依法缴纳税收和社会保障资金的良好记录；</w:t>
            </w:r>
          </w:p>
          <w:p w14:paraId="40C532B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（4）具有履行合同所必需的设备和专业技术能力；</w:t>
            </w:r>
          </w:p>
          <w:p w14:paraId="08EE55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（5）参加本次政府采购活动前三年内，在经营活动中没有重大违法记录；</w:t>
            </w:r>
          </w:p>
          <w:p w14:paraId="6E8756F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（6）在投标(响应)截止日期前未被列入失信被执行人名单、重大税收违法案件当事人名单、政府采购严重违法失信行为记录名单；</w:t>
            </w:r>
          </w:p>
          <w:p w14:paraId="6453AB0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654349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注：存在不良信用记录的供应商，在信用修复前不适用承诺制。</w:t>
            </w:r>
          </w:p>
          <w:p w14:paraId="5FBA0392">
            <w:pPr>
              <w:spacing w:line="300" w:lineRule="auto"/>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落实政府采购政策需满足的资格要求：本项目不属于专门面向中小微企业采购，评审时，小微型企业、监狱企业、残疾人福利性单位报价给予10%的扣除。用扣除后的价格参与评审，监狱企业、残疾人福利性单位属于小型、微型企业的，不重复享受政策。</w:t>
            </w:r>
          </w:p>
          <w:p w14:paraId="2524CE9C">
            <w:pPr>
              <w:spacing w:line="300" w:lineRule="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3.本次招标不接受联合体投标。</w:t>
            </w:r>
          </w:p>
          <w:p w14:paraId="638BC49D">
            <w:pPr>
              <w:spacing w:line="300" w:lineRule="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4.本次招标不允许分包或者转包。</w:t>
            </w:r>
          </w:p>
          <w:p w14:paraId="40EB62F1">
            <w:pPr>
              <w:spacing w:line="300" w:lineRule="auto"/>
              <w:rPr>
                <w:color w:val="auto"/>
              </w:rPr>
            </w:pPr>
            <w:r>
              <w:rPr>
                <w:rFonts w:hint="eastAsia" w:ascii="Times New Roman" w:hAnsi="Times New Roman" w:eastAsia="宋体" w:cs="Times New Roman"/>
                <w:color w:val="auto"/>
                <w:lang w:val="en-US" w:eastAsia="zh-CN"/>
              </w:rPr>
              <w:t>5.本项目特殊资质要求：无。</w:t>
            </w:r>
          </w:p>
        </w:tc>
      </w:tr>
      <w:tr w14:paraId="0720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14:paraId="5CD3BF43">
            <w:pPr>
              <w:jc w:val="center"/>
              <w:rPr>
                <w:rFonts w:hint="default" w:eastAsia="宋体"/>
                <w:color w:val="auto"/>
                <w:lang w:val="en-US" w:eastAsia="zh-CN"/>
              </w:rPr>
            </w:pPr>
            <w:r>
              <w:rPr>
                <w:rFonts w:hint="eastAsia"/>
                <w:color w:val="auto"/>
                <w:lang w:val="en-US" w:eastAsia="zh-CN"/>
              </w:rPr>
              <w:t>11.1</w:t>
            </w:r>
          </w:p>
        </w:tc>
        <w:tc>
          <w:tcPr>
            <w:tcW w:w="1512" w:type="dxa"/>
            <w:gridSpan w:val="2"/>
            <w:tcBorders>
              <w:top w:val="single" w:color="auto" w:sz="4" w:space="0"/>
              <w:left w:val="single" w:color="auto" w:sz="4" w:space="0"/>
              <w:bottom w:val="single" w:color="auto" w:sz="4" w:space="0"/>
              <w:right w:val="single" w:color="auto" w:sz="4" w:space="0"/>
            </w:tcBorders>
            <w:noWrap w:val="0"/>
            <w:vAlign w:val="center"/>
          </w:tcPr>
          <w:p w14:paraId="5B21DC12">
            <w:pPr>
              <w:jc w:val="center"/>
              <w:rPr>
                <w:color w:val="auto"/>
              </w:rPr>
            </w:pPr>
            <w:r>
              <w:rPr>
                <w:rFonts w:hint="eastAsia"/>
                <w:color w:val="auto"/>
              </w:rPr>
              <w:t>资格审查方式</w:t>
            </w:r>
          </w:p>
        </w:tc>
        <w:tc>
          <w:tcPr>
            <w:tcW w:w="7515" w:type="dxa"/>
            <w:tcBorders>
              <w:top w:val="single" w:color="auto" w:sz="4" w:space="0"/>
              <w:left w:val="single" w:color="auto" w:sz="4" w:space="0"/>
              <w:bottom w:val="single" w:color="auto" w:sz="4" w:space="0"/>
              <w:right w:val="single" w:color="auto" w:sz="4" w:space="0"/>
            </w:tcBorders>
            <w:noWrap w:val="0"/>
            <w:vAlign w:val="center"/>
          </w:tcPr>
          <w:p w14:paraId="361DEE86">
            <w:pPr>
              <w:rPr>
                <w:b/>
                <w:color w:val="auto"/>
              </w:rPr>
            </w:pPr>
            <w:r>
              <w:rPr>
                <w:rFonts w:hint="eastAsia"/>
                <w:bCs/>
                <w:color w:val="auto"/>
              </w:rPr>
              <w:t>资格审查方式：资格后审。</w:t>
            </w:r>
          </w:p>
        </w:tc>
      </w:tr>
      <w:tr w14:paraId="5DC8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83" w:type="dxa"/>
            <w:noWrap w:val="0"/>
            <w:vAlign w:val="center"/>
          </w:tcPr>
          <w:p w14:paraId="67B6A8AD">
            <w:pPr>
              <w:jc w:val="center"/>
              <w:rPr>
                <w:rFonts w:hint="default" w:eastAsia="宋体"/>
                <w:color w:val="auto"/>
                <w:lang w:val="en-US" w:eastAsia="zh-CN"/>
              </w:rPr>
            </w:pPr>
            <w:r>
              <w:rPr>
                <w:rFonts w:hint="eastAsia"/>
                <w:color w:val="auto"/>
                <w:lang w:val="en-US" w:eastAsia="zh-CN"/>
              </w:rPr>
              <w:t>12.1</w:t>
            </w:r>
          </w:p>
        </w:tc>
        <w:tc>
          <w:tcPr>
            <w:tcW w:w="1512" w:type="dxa"/>
            <w:gridSpan w:val="2"/>
            <w:noWrap w:val="0"/>
            <w:vAlign w:val="center"/>
          </w:tcPr>
          <w:p w14:paraId="51017F78">
            <w:pPr>
              <w:jc w:val="center"/>
              <w:rPr>
                <w:color w:val="auto"/>
              </w:rPr>
            </w:pPr>
            <w:r>
              <w:rPr>
                <w:rFonts w:hint="eastAsia"/>
                <w:color w:val="auto"/>
              </w:rPr>
              <w:t>是否接受联合体</w:t>
            </w:r>
          </w:p>
        </w:tc>
        <w:tc>
          <w:tcPr>
            <w:tcW w:w="7515" w:type="dxa"/>
            <w:noWrap w:val="0"/>
            <w:vAlign w:val="center"/>
          </w:tcPr>
          <w:p w14:paraId="74B33E36">
            <w:pPr>
              <w:rPr>
                <w:color w:val="auto"/>
              </w:rPr>
            </w:pPr>
            <w:r>
              <w:rPr>
                <w:rFonts w:hint="eastAsia" w:ascii="宋体" w:hAnsi="宋体" w:cs="宋体"/>
                <w:color w:val="auto"/>
              </w:rPr>
              <w:t>■</w:t>
            </w:r>
            <w:r>
              <w:rPr>
                <w:rFonts w:hint="eastAsia"/>
                <w:color w:val="auto"/>
              </w:rPr>
              <w:t>不接受</w:t>
            </w:r>
          </w:p>
          <w:p w14:paraId="16699511">
            <w:pPr>
              <w:rPr>
                <w:color w:val="auto"/>
              </w:rPr>
            </w:pPr>
            <w:r>
              <w:rPr>
                <w:rFonts w:hint="eastAsia"/>
                <w:color w:val="auto"/>
              </w:rPr>
              <w:t>□接受，……。</w:t>
            </w:r>
          </w:p>
        </w:tc>
      </w:tr>
      <w:tr w14:paraId="4CC7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83" w:type="dxa"/>
            <w:noWrap w:val="0"/>
            <w:vAlign w:val="center"/>
          </w:tcPr>
          <w:p w14:paraId="0879BBAC">
            <w:pPr>
              <w:jc w:val="center"/>
              <w:rPr>
                <w:rFonts w:hint="default" w:eastAsia="宋体"/>
                <w:color w:val="auto"/>
                <w:lang w:val="en-US" w:eastAsia="zh-CN"/>
              </w:rPr>
            </w:pPr>
            <w:r>
              <w:rPr>
                <w:rFonts w:hint="eastAsia"/>
                <w:color w:val="auto"/>
                <w:lang w:val="en-US" w:eastAsia="zh-CN"/>
              </w:rPr>
              <w:t>13.1</w:t>
            </w:r>
          </w:p>
        </w:tc>
        <w:tc>
          <w:tcPr>
            <w:tcW w:w="1512" w:type="dxa"/>
            <w:gridSpan w:val="2"/>
            <w:noWrap w:val="0"/>
            <w:vAlign w:val="center"/>
          </w:tcPr>
          <w:p w14:paraId="1A89FB49">
            <w:pPr>
              <w:jc w:val="center"/>
              <w:rPr>
                <w:color w:val="auto"/>
              </w:rPr>
            </w:pPr>
            <w:r>
              <w:rPr>
                <w:rFonts w:hint="eastAsia"/>
                <w:color w:val="auto"/>
              </w:rPr>
              <w:t>踏勘现场</w:t>
            </w:r>
          </w:p>
        </w:tc>
        <w:tc>
          <w:tcPr>
            <w:tcW w:w="7515" w:type="dxa"/>
            <w:noWrap w:val="0"/>
            <w:vAlign w:val="center"/>
          </w:tcPr>
          <w:p w14:paraId="60AB62D7">
            <w:pPr>
              <w:rPr>
                <w:color w:val="auto"/>
              </w:rPr>
            </w:pPr>
            <w:r>
              <w:rPr>
                <w:rFonts w:hint="eastAsia" w:ascii="宋体" w:hAnsi="宋体" w:cs="宋体"/>
                <w:color w:val="auto"/>
              </w:rPr>
              <w:t>■</w:t>
            </w:r>
            <w:r>
              <w:rPr>
                <w:rFonts w:hint="eastAsia"/>
                <w:color w:val="auto"/>
              </w:rPr>
              <w:t>不组织</w:t>
            </w:r>
            <w:r>
              <w:rPr>
                <w:color w:val="auto"/>
              </w:rPr>
              <w:t>。</w:t>
            </w:r>
          </w:p>
          <w:p w14:paraId="6C7E4C27">
            <w:pPr>
              <w:rPr>
                <w:color w:val="auto"/>
              </w:rPr>
            </w:pPr>
            <w:r>
              <w:rPr>
                <w:rFonts w:ascii="Wingdings" w:hAnsi="Wingdings"/>
                <w:color w:val="auto"/>
              </w:rPr>
              <w:sym w:font="Wingdings" w:char="00A8"/>
            </w:r>
            <w:r>
              <w:rPr>
                <w:rFonts w:hint="eastAsia"/>
                <w:color w:val="auto"/>
              </w:rPr>
              <w:t>组织，……。</w:t>
            </w:r>
          </w:p>
        </w:tc>
      </w:tr>
      <w:tr w14:paraId="6E4A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083" w:type="dxa"/>
            <w:noWrap w:val="0"/>
            <w:vAlign w:val="center"/>
          </w:tcPr>
          <w:p w14:paraId="17B08287">
            <w:pPr>
              <w:jc w:val="center"/>
              <w:rPr>
                <w:rFonts w:hint="default" w:eastAsia="宋体"/>
                <w:color w:val="auto"/>
                <w:lang w:val="en-US" w:eastAsia="zh-CN"/>
              </w:rPr>
            </w:pPr>
            <w:r>
              <w:rPr>
                <w:rFonts w:hint="eastAsia"/>
                <w:color w:val="auto"/>
                <w:lang w:val="en-US" w:eastAsia="zh-CN"/>
              </w:rPr>
              <w:t>14.1</w:t>
            </w:r>
          </w:p>
        </w:tc>
        <w:tc>
          <w:tcPr>
            <w:tcW w:w="1512" w:type="dxa"/>
            <w:gridSpan w:val="2"/>
            <w:noWrap w:val="0"/>
            <w:vAlign w:val="center"/>
          </w:tcPr>
          <w:p w14:paraId="5E5DBBD8">
            <w:pPr>
              <w:jc w:val="center"/>
              <w:rPr>
                <w:color w:val="auto"/>
              </w:rPr>
            </w:pPr>
            <w:r>
              <w:rPr>
                <w:rFonts w:hint="eastAsia"/>
                <w:color w:val="auto"/>
              </w:rPr>
              <w:t>投标预备会</w:t>
            </w:r>
          </w:p>
        </w:tc>
        <w:tc>
          <w:tcPr>
            <w:tcW w:w="7515" w:type="dxa"/>
            <w:noWrap w:val="0"/>
            <w:vAlign w:val="center"/>
          </w:tcPr>
          <w:p w14:paraId="2C237E53">
            <w:pPr>
              <w:rPr>
                <w:color w:val="auto"/>
              </w:rPr>
            </w:pPr>
            <w:r>
              <w:rPr>
                <w:rFonts w:hint="eastAsia" w:ascii="宋体" w:hAnsi="宋体" w:cs="宋体"/>
                <w:color w:val="auto"/>
              </w:rPr>
              <w:t>■</w:t>
            </w:r>
            <w:r>
              <w:rPr>
                <w:rFonts w:hint="eastAsia"/>
                <w:color w:val="auto"/>
              </w:rPr>
              <w:t>不召开</w:t>
            </w:r>
          </w:p>
          <w:p w14:paraId="7DAC5994">
            <w:pPr>
              <w:rPr>
                <w:color w:val="auto"/>
              </w:rPr>
            </w:pPr>
            <w:r>
              <w:rPr>
                <w:rFonts w:hint="eastAsia"/>
                <w:color w:val="auto"/>
              </w:rPr>
              <w:t>□召开，……。</w:t>
            </w:r>
          </w:p>
        </w:tc>
      </w:tr>
      <w:tr w14:paraId="503D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7" w:hRule="atLeast"/>
          <w:jc w:val="center"/>
        </w:trPr>
        <w:tc>
          <w:tcPr>
            <w:tcW w:w="1083" w:type="dxa"/>
            <w:noWrap w:val="0"/>
            <w:vAlign w:val="center"/>
          </w:tcPr>
          <w:p w14:paraId="6AC27131">
            <w:pPr>
              <w:jc w:val="center"/>
              <w:rPr>
                <w:rFonts w:hint="default" w:eastAsia="宋体"/>
                <w:color w:val="auto"/>
                <w:lang w:val="en-US" w:eastAsia="zh-CN"/>
              </w:rPr>
            </w:pPr>
            <w:r>
              <w:rPr>
                <w:rFonts w:hint="eastAsia"/>
                <w:color w:val="auto"/>
                <w:lang w:val="en-US" w:eastAsia="zh-CN"/>
              </w:rPr>
              <w:t>15.1</w:t>
            </w:r>
          </w:p>
        </w:tc>
        <w:tc>
          <w:tcPr>
            <w:tcW w:w="1512" w:type="dxa"/>
            <w:gridSpan w:val="2"/>
            <w:noWrap w:val="0"/>
            <w:vAlign w:val="center"/>
          </w:tcPr>
          <w:p w14:paraId="12E16D15">
            <w:pPr>
              <w:jc w:val="center"/>
              <w:rPr>
                <w:color w:val="auto"/>
              </w:rPr>
            </w:pPr>
            <w:r>
              <w:rPr>
                <w:rFonts w:hint="eastAsia"/>
                <w:color w:val="auto"/>
              </w:rPr>
              <w:t>供应商提出质疑的时间</w:t>
            </w:r>
          </w:p>
        </w:tc>
        <w:tc>
          <w:tcPr>
            <w:tcW w:w="7515" w:type="dxa"/>
            <w:noWrap w:val="0"/>
            <w:vAlign w:val="center"/>
          </w:tcPr>
          <w:p w14:paraId="6C2ED7B7">
            <w:pPr>
              <w:numPr>
                <w:ilvl w:val="0"/>
                <w:numId w:val="3"/>
              </w:numPr>
              <w:rPr>
                <w:rFonts w:ascii="宋体" w:hAnsi="宋体" w:cs="宋体"/>
                <w:color w:val="auto"/>
              </w:rPr>
            </w:pPr>
            <w:r>
              <w:rPr>
                <w:rFonts w:hint="eastAsia" w:ascii="宋体" w:hAnsi="宋体" w:cs="宋体"/>
                <w:color w:val="auto"/>
              </w:rPr>
              <w:t>供应商认为</w:t>
            </w:r>
            <w:r>
              <w:rPr>
                <w:rFonts w:hint="eastAsia" w:ascii="宋体" w:hAnsi="宋体" w:cs="宋体"/>
                <w:color w:val="auto"/>
                <w:lang w:val="en-US" w:eastAsia="zh-CN"/>
              </w:rPr>
              <w:t>采购招标</w:t>
            </w:r>
            <w:r>
              <w:rPr>
                <w:rFonts w:hint="eastAsia" w:ascii="宋体" w:hAnsi="宋体" w:cs="宋体"/>
                <w:color w:val="auto"/>
              </w:rPr>
              <w:t>文件、采购过程、中标或者</w:t>
            </w:r>
            <w:r>
              <w:rPr>
                <w:rFonts w:hint="eastAsia" w:ascii="宋体" w:hAnsi="宋体" w:cs="宋体"/>
                <w:color w:val="auto"/>
                <w:lang w:eastAsia="zh-CN"/>
              </w:rPr>
              <w:t>中标</w:t>
            </w:r>
            <w:r>
              <w:rPr>
                <w:rFonts w:hint="eastAsia" w:ascii="宋体" w:hAnsi="宋体" w:cs="宋体"/>
                <w:color w:val="auto"/>
              </w:rPr>
              <w:t>结果使自己的权益受到损害的，可以在知道或者应知其权益受到损害之日起7个工作日内，以书面形式向采购人、采购代理机构提出质疑。</w:t>
            </w:r>
          </w:p>
          <w:p w14:paraId="41651B51">
            <w:pPr>
              <w:rPr>
                <w:rFonts w:ascii="宋体" w:hAnsi="宋体" w:cs="宋体"/>
                <w:color w:val="auto"/>
              </w:rPr>
            </w:pPr>
            <w:r>
              <w:rPr>
                <w:rFonts w:hint="eastAsia" w:ascii="宋体" w:hAnsi="宋体" w:cs="宋体"/>
                <w:color w:val="auto"/>
              </w:rPr>
              <w:t>（2）供应商应在法定质疑期内一次性提出针对同一采购程序环节的质疑。</w:t>
            </w:r>
          </w:p>
          <w:p w14:paraId="1E73D91B">
            <w:pPr>
              <w:rPr>
                <w:rFonts w:ascii="宋体" w:hAnsi="宋体" w:cs="宋体"/>
                <w:color w:val="auto"/>
              </w:rPr>
            </w:pPr>
            <w:r>
              <w:rPr>
                <w:rFonts w:hint="eastAsia" w:ascii="宋体" w:hAnsi="宋体" w:cs="宋体"/>
                <w:color w:val="auto"/>
              </w:rPr>
              <w:t>（3）提出质疑的供应商应当是参与本项目采购活动的供应商。</w:t>
            </w:r>
          </w:p>
          <w:p w14:paraId="7367AA26">
            <w:pPr>
              <w:rPr>
                <w:rFonts w:ascii="宋体" w:hAnsi="宋体" w:cs="宋体"/>
                <w:color w:val="auto"/>
              </w:rPr>
            </w:pPr>
            <w:r>
              <w:rPr>
                <w:rFonts w:hint="eastAsia" w:ascii="宋体" w:hAnsi="宋体" w:cs="宋体"/>
                <w:color w:val="auto"/>
              </w:rPr>
              <w:t>（4）潜在供应商已依法获取其可质疑的</w:t>
            </w:r>
            <w:r>
              <w:rPr>
                <w:rFonts w:hint="eastAsia" w:ascii="宋体" w:hAnsi="宋体" w:cs="宋体"/>
                <w:color w:val="auto"/>
                <w:lang w:val="en-US" w:eastAsia="zh-CN"/>
              </w:rPr>
              <w:t>采购招标</w:t>
            </w:r>
            <w:r>
              <w:rPr>
                <w:rFonts w:hint="eastAsia" w:ascii="宋体" w:hAnsi="宋体" w:cs="宋体"/>
                <w:color w:val="auto"/>
              </w:rPr>
              <w:t>文件的，可以对该文件提出质疑。对</w:t>
            </w:r>
            <w:r>
              <w:rPr>
                <w:rFonts w:hint="eastAsia" w:ascii="宋体" w:hAnsi="宋体" w:cs="宋体"/>
                <w:color w:val="auto"/>
                <w:lang w:val="en-US" w:eastAsia="zh-CN"/>
              </w:rPr>
              <w:t>采购招标文</w:t>
            </w:r>
            <w:r>
              <w:rPr>
                <w:rFonts w:hint="eastAsia" w:ascii="宋体" w:hAnsi="宋体" w:cs="宋体"/>
                <w:color w:val="auto"/>
              </w:rPr>
              <w:t>件提出质疑的，应当在获取</w:t>
            </w:r>
            <w:r>
              <w:rPr>
                <w:rFonts w:hint="eastAsia" w:ascii="宋体" w:hAnsi="宋体" w:cs="宋体"/>
                <w:color w:val="auto"/>
                <w:lang w:val="en-US" w:eastAsia="zh-CN"/>
              </w:rPr>
              <w:t>采购招标</w:t>
            </w:r>
            <w:r>
              <w:rPr>
                <w:rFonts w:hint="eastAsia" w:ascii="宋体" w:hAnsi="宋体" w:cs="宋体"/>
                <w:color w:val="auto"/>
              </w:rPr>
              <w:t>文件或者</w:t>
            </w:r>
            <w:r>
              <w:rPr>
                <w:rFonts w:hint="eastAsia" w:ascii="宋体" w:hAnsi="宋体" w:cs="宋体"/>
                <w:color w:val="auto"/>
                <w:lang w:val="en-US" w:eastAsia="zh-CN"/>
              </w:rPr>
              <w:t>采购招标</w:t>
            </w:r>
            <w:r>
              <w:rPr>
                <w:rFonts w:hint="eastAsia" w:ascii="宋体" w:hAnsi="宋体" w:cs="宋体"/>
                <w:color w:val="auto"/>
              </w:rPr>
              <w:t>文件公告期限届满之日起7个工作日内提出。</w:t>
            </w:r>
          </w:p>
          <w:p w14:paraId="7E01CF3A">
            <w:pPr>
              <w:rPr>
                <w:color w:val="auto"/>
              </w:rPr>
            </w:pPr>
            <w:r>
              <w:rPr>
                <w:rFonts w:hint="eastAsia" w:ascii="宋体" w:hAnsi="宋体" w:cs="宋体"/>
                <w:color w:val="auto"/>
              </w:rPr>
              <w:t>（5）供应商提出质疑应当按财政部94号令提交质疑函和必要的证明材料。</w:t>
            </w:r>
          </w:p>
        </w:tc>
      </w:tr>
      <w:tr w14:paraId="6D57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1083" w:type="dxa"/>
            <w:noWrap w:val="0"/>
            <w:vAlign w:val="center"/>
          </w:tcPr>
          <w:p w14:paraId="1346554A">
            <w:pPr>
              <w:jc w:val="center"/>
              <w:rPr>
                <w:rFonts w:hint="default" w:ascii="Times New Roman" w:hAnsi="Times New Roman" w:eastAsia="宋体" w:cs="Times New Roman"/>
                <w:color w:val="auto"/>
                <w:kern w:val="2"/>
                <w:sz w:val="21"/>
                <w:szCs w:val="24"/>
                <w:lang w:val="en-US" w:eastAsia="zh-CN" w:bidi="ar-SA"/>
              </w:rPr>
            </w:pPr>
            <w:r>
              <w:rPr>
                <w:rFonts w:hint="eastAsia" w:eastAsia="宋体"/>
                <w:color w:val="auto"/>
                <w:lang w:val="en-US" w:eastAsia="zh-CN"/>
              </w:rPr>
              <w:t>16.1</w:t>
            </w:r>
          </w:p>
        </w:tc>
        <w:tc>
          <w:tcPr>
            <w:tcW w:w="1512" w:type="dxa"/>
            <w:gridSpan w:val="2"/>
            <w:noWrap w:val="0"/>
            <w:vAlign w:val="center"/>
          </w:tcPr>
          <w:p w14:paraId="3ADF160A">
            <w:pPr>
              <w:jc w:val="center"/>
              <w:rPr>
                <w:rFonts w:hint="eastAsia" w:ascii="Times New Roman" w:hAnsi="Times New Roman" w:eastAsia="宋体" w:cs="Times New Roman"/>
                <w:color w:val="auto"/>
                <w:kern w:val="2"/>
                <w:sz w:val="21"/>
                <w:szCs w:val="24"/>
                <w:lang w:val="en-US" w:eastAsia="zh-CN" w:bidi="ar-SA"/>
              </w:rPr>
            </w:pPr>
            <w:r>
              <w:rPr>
                <w:rFonts w:hint="eastAsia"/>
                <w:color w:val="auto"/>
              </w:rPr>
              <w:t>采购人书面澄清的时间</w:t>
            </w:r>
          </w:p>
        </w:tc>
        <w:tc>
          <w:tcPr>
            <w:tcW w:w="7515" w:type="dxa"/>
            <w:noWrap w:val="0"/>
            <w:vAlign w:val="center"/>
          </w:tcPr>
          <w:p w14:paraId="3EA479C3">
            <w:pPr>
              <w:rPr>
                <w:rFonts w:hint="eastAsia" w:ascii="Times New Roman" w:hAnsi="Times New Roman" w:eastAsia="宋体" w:cs="Times New Roman"/>
                <w:color w:val="auto"/>
                <w:kern w:val="2"/>
                <w:sz w:val="21"/>
                <w:szCs w:val="24"/>
                <w:lang w:val="en-US" w:eastAsia="zh-CN" w:bidi="ar-SA"/>
              </w:rPr>
            </w:pPr>
            <w:r>
              <w:rPr>
                <w:rFonts w:hint="eastAsia"/>
                <w:color w:val="auto"/>
              </w:rPr>
              <w:t>提交首次</w:t>
            </w:r>
            <w:r>
              <w:rPr>
                <w:rFonts w:hint="eastAsia" w:ascii="宋体" w:hAnsi="宋体" w:eastAsia="宋体" w:cs="宋体"/>
                <w:color w:val="auto"/>
                <w:lang w:val="en-US" w:eastAsia="zh-CN"/>
              </w:rPr>
              <w:t>投标</w:t>
            </w:r>
            <w:r>
              <w:rPr>
                <w:rFonts w:hint="eastAsia"/>
                <w:color w:val="auto"/>
              </w:rPr>
              <w:t>文件截止之日前，采购人或采购代理机构可以对已发出的</w:t>
            </w:r>
            <w:r>
              <w:rPr>
                <w:rFonts w:hint="eastAsia" w:ascii="宋体" w:hAnsi="宋体" w:cs="宋体"/>
                <w:color w:val="auto"/>
                <w:lang w:val="en-US" w:eastAsia="zh-CN"/>
              </w:rPr>
              <w:t>采购招标</w:t>
            </w:r>
            <w:r>
              <w:rPr>
                <w:rFonts w:hint="eastAsia"/>
                <w:color w:val="auto"/>
              </w:rPr>
              <w:t>文件进行必要的澄清或者修改，澄清或者修改的内容作为</w:t>
            </w:r>
            <w:r>
              <w:rPr>
                <w:rFonts w:hint="eastAsia" w:ascii="宋体" w:hAnsi="宋体" w:cs="宋体"/>
                <w:color w:val="auto"/>
                <w:lang w:val="en-US" w:eastAsia="zh-CN"/>
              </w:rPr>
              <w:t>采购招标</w:t>
            </w:r>
            <w:r>
              <w:rPr>
                <w:rFonts w:hint="eastAsia"/>
                <w:color w:val="auto"/>
              </w:rPr>
              <w:t>文件的组成部分。澄清或者修改的内容可能影响</w:t>
            </w:r>
            <w:r>
              <w:rPr>
                <w:rFonts w:hint="eastAsia" w:ascii="宋体" w:hAnsi="宋体" w:eastAsia="宋体" w:cs="宋体"/>
                <w:color w:val="auto"/>
                <w:lang w:val="en-US" w:eastAsia="zh-CN"/>
              </w:rPr>
              <w:t>投标</w:t>
            </w:r>
            <w:r>
              <w:rPr>
                <w:rFonts w:hint="eastAsia"/>
                <w:color w:val="auto"/>
              </w:rPr>
              <w:t>文件编制的，采购人、采购代理机构应当在提交首次</w:t>
            </w:r>
            <w:r>
              <w:rPr>
                <w:rFonts w:hint="eastAsia" w:ascii="宋体" w:hAnsi="宋体" w:eastAsia="宋体" w:cs="宋体"/>
                <w:color w:val="auto"/>
                <w:lang w:val="en-US" w:eastAsia="zh-CN"/>
              </w:rPr>
              <w:t>投标</w:t>
            </w:r>
            <w:r>
              <w:rPr>
                <w:rFonts w:hint="eastAsia"/>
                <w:color w:val="auto"/>
              </w:rPr>
              <w:t>文件截止时间至少5日前，在云南省政府采购网（</w:t>
            </w:r>
            <w:r>
              <w:rPr>
                <w:color w:val="auto"/>
              </w:rPr>
              <w:fldChar w:fldCharType="begin"/>
            </w:r>
            <w:r>
              <w:rPr>
                <w:color w:val="auto"/>
              </w:rPr>
              <w:instrText xml:space="preserve"> HYPERLINK "http://www.purchase.gov.cn/" </w:instrText>
            </w:r>
            <w:r>
              <w:rPr>
                <w:color w:val="auto"/>
              </w:rPr>
              <w:fldChar w:fldCharType="separate"/>
            </w:r>
            <w:r>
              <w:rPr>
                <w:rFonts w:hint="eastAsia"/>
                <w:color w:val="auto"/>
              </w:rPr>
              <w:t>www.yngp.</w:t>
            </w:r>
            <w:r>
              <w:rPr>
                <w:rFonts w:hint="eastAsia"/>
                <w:color w:val="auto"/>
              </w:rPr>
              <w:fldChar w:fldCharType="end"/>
            </w:r>
            <w:r>
              <w:rPr>
                <w:rFonts w:hint="eastAsia"/>
                <w:color w:val="auto"/>
              </w:rPr>
              <w:t>com）、“政采云”平台（http：//www.zcygov.cn）上发布更正公告；不足5日的，采购人、采购代理机构应当顺延提交首次</w:t>
            </w:r>
            <w:r>
              <w:rPr>
                <w:rFonts w:hint="eastAsia" w:ascii="宋体" w:hAnsi="宋体" w:eastAsia="宋体" w:cs="宋体"/>
                <w:color w:val="auto"/>
                <w:lang w:val="en-US" w:eastAsia="zh-CN"/>
              </w:rPr>
              <w:t>投标</w:t>
            </w:r>
            <w:r>
              <w:rPr>
                <w:rFonts w:hint="eastAsia"/>
                <w:color w:val="auto"/>
              </w:rPr>
              <w:t>文件截止时间。</w:t>
            </w:r>
          </w:p>
        </w:tc>
      </w:tr>
      <w:tr w14:paraId="51B7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083" w:type="dxa"/>
            <w:noWrap w:val="0"/>
            <w:vAlign w:val="center"/>
          </w:tcPr>
          <w:p w14:paraId="51012647">
            <w:pPr>
              <w:jc w:val="center"/>
              <w:rPr>
                <w:rFonts w:hint="default" w:ascii="Times New Roman" w:hAnsi="Times New Roman" w:eastAsia="宋体" w:cs="Times New Roman"/>
                <w:color w:val="auto"/>
                <w:kern w:val="2"/>
                <w:sz w:val="21"/>
                <w:szCs w:val="24"/>
                <w:lang w:val="en-US" w:eastAsia="zh-CN" w:bidi="ar-SA"/>
              </w:rPr>
            </w:pPr>
            <w:r>
              <w:rPr>
                <w:rFonts w:hint="eastAsia" w:eastAsia="宋体"/>
                <w:color w:val="auto"/>
                <w:lang w:val="en-US" w:eastAsia="zh-CN"/>
              </w:rPr>
              <w:t>17.1</w:t>
            </w:r>
          </w:p>
        </w:tc>
        <w:tc>
          <w:tcPr>
            <w:tcW w:w="1512" w:type="dxa"/>
            <w:gridSpan w:val="2"/>
            <w:noWrap w:val="0"/>
            <w:vAlign w:val="center"/>
          </w:tcPr>
          <w:p w14:paraId="77F28562">
            <w:pPr>
              <w:jc w:val="center"/>
              <w:rPr>
                <w:rFonts w:hint="eastAsia" w:ascii="Times New Roman" w:hAnsi="Times New Roman" w:eastAsia="宋体" w:cs="Times New Roman"/>
                <w:color w:val="auto"/>
                <w:kern w:val="2"/>
                <w:sz w:val="21"/>
                <w:szCs w:val="24"/>
                <w:lang w:val="en-US" w:eastAsia="zh-CN" w:bidi="ar-SA"/>
              </w:rPr>
            </w:pPr>
            <w:r>
              <w:rPr>
                <w:rFonts w:hint="eastAsia"/>
                <w:color w:val="auto"/>
              </w:rPr>
              <w:t>分  包</w:t>
            </w:r>
          </w:p>
        </w:tc>
        <w:tc>
          <w:tcPr>
            <w:tcW w:w="7515" w:type="dxa"/>
            <w:noWrap w:val="0"/>
            <w:vAlign w:val="center"/>
          </w:tcPr>
          <w:p w14:paraId="511E6E38">
            <w:pPr>
              <w:rPr>
                <w:color w:val="auto"/>
              </w:rPr>
            </w:pPr>
            <w:r>
              <w:rPr>
                <w:rFonts w:hint="eastAsia" w:ascii="宋体" w:hAnsi="宋体" w:cs="宋体"/>
                <w:color w:val="auto"/>
              </w:rPr>
              <w:t>■</w:t>
            </w:r>
            <w:r>
              <w:rPr>
                <w:rFonts w:hint="eastAsia"/>
                <w:color w:val="auto"/>
              </w:rPr>
              <w:t>不允许</w:t>
            </w:r>
          </w:p>
          <w:p w14:paraId="46B6683E">
            <w:pPr>
              <w:rPr>
                <w:rFonts w:hint="eastAsia" w:ascii="Times New Roman" w:hAnsi="Times New Roman" w:eastAsia="宋体" w:cs="Times New Roman"/>
                <w:color w:val="auto"/>
                <w:kern w:val="2"/>
                <w:sz w:val="21"/>
                <w:szCs w:val="24"/>
                <w:lang w:val="en-US" w:eastAsia="zh-CN" w:bidi="ar-SA"/>
              </w:rPr>
            </w:pPr>
            <w:r>
              <w:rPr>
                <w:rFonts w:hint="eastAsia"/>
                <w:color w:val="auto"/>
              </w:rPr>
              <w:t>□允许，……。</w:t>
            </w:r>
          </w:p>
        </w:tc>
      </w:tr>
      <w:tr w14:paraId="2E81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083" w:type="dxa"/>
            <w:noWrap w:val="0"/>
            <w:vAlign w:val="center"/>
          </w:tcPr>
          <w:p w14:paraId="73477E97">
            <w:pPr>
              <w:jc w:val="center"/>
              <w:rPr>
                <w:rFonts w:hint="default" w:ascii="Times New Roman" w:hAnsi="Times New Roman" w:eastAsia="宋体" w:cs="Times New Roman"/>
                <w:color w:val="auto"/>
                <w:kern w:val="2"/>
                <w:sz w:val="21"/>
                <w:szCs w:val="24"/>
                <w:lang w:val="en-US" w:eastAsia="zh-CN" w:bidi="ar-SA"/>
              </w:rPr>
            </w:pPr>
            <w:r>
              <w:rPr>
                <w:rFonts w:hint="eastAsia" w:eastAsia="宋体"/>
                <w:color w:val="auto"/>
                <w:lang w:val="en-US" w:eastAsia="zh-CN"/>
              </w:rPr>
              <w:t>18.1</w:t>
            </w:r>
          </w:p>
        </w:tc>
        <w:tc>
          <w:tcPr>
            <w:tcW w:w="1512" w:type="dxa"/>
            <w:gridSpan w:val="2"/>
            <w:noWrap w:val="0"/>
            <w:vAlign w:val="center"/>
          </w:tcPr>
          <w:p w14:paraId="5E898B46">
            <w:pPr>
              <w:jc w:val="center"/>
              <w:rPr>
                <w:rFonts w:hint="eastAsia" w:ascii="Times New Roman" w:hAnsi="Times New Roman" w:eastAsia="宋体" w:cs="Times New Roman"/>
                <w:color w:val="auto"/>
                <w:kern w:val="2"/>
                <w:sz w:val="21"/>
                <w:szCs w:val="24"/>
                <w:lang w:val="en-US" w:eastAsia="zh-CN" w:bidi="ar-SA"/>
              </w:rPr>
            </w:pPr>
            <w:r>
              <w:rPr>
                <w:rFonts w:hint="eastAsia"/>
                <w:color w:val="auto"/>
              </w:rPr>
              <w:t>构成</w:t>
            </w:r>
            <w:r>
              <w:rPr>
                <w:rFonts w:hint="eastAsia" w:ascii="宋体" w:hAnsi="宋体" w:eastAsia="宋体" w:cs="宋体"/>
                <w:color w:val="auto"/>
                <w:lang w:val="en-US" w:eastAsia="zh-CN"/>
              </w:rPr>
              <w:t>投标</w:t>
            </w:r>
            <w:r>
              <w:rPr>
                <w:rFonts w:hint="eastAsia"/>
                <w:color w:val="auto"/>
              </w:rPr>
              <w:t>文件的其他材料</w:t>
            </w:r>
          </w:p>
        </w:tc>
        <w:tc>
          <w:tcPr>
            <w:tcW w:w="7515" w:type="dxa"/>
            <w:noWrap w:val="0"/>
            <w:vAlign w:val="center"/>
          </w:tcPr>
          <w:p w14:paraId="7C6BC5C5">
            <w:pPr>
              <w:rPr>
                <w:rFonts w:hint="eastAsia" w:ascii="Times New Roman" w:hAnsi="Times New Roman" w:eastAsia="宋体" w:cs="Times New Roman"/>
                <w:color w:val="auto"/>
                <w:kern w:val="2"/>
                <w:sz w:val="21"/>
                <w:szCs w:val="24"/>
                <w:lang w:val="en-US" w:eastAsia="zh-CN" w:bidi="ar-SA"/>
              </w:rPr>
            </w:pPr>
            <w:r>
              <w:rPr>
                <w:rFonts w:hint="eastAsia"/>
                <w:color w:val="auto"/>
              </w:rPr>
              <w:t>投标截止时间前供应商按规定上传的电子修改、补充文件；</w:t>
            </w:r>
            <w:r>
              <w:rPr>
                <w:color w:val="auto"/>
              </w:rPr>
              <w:t>按</w:t>
            </w:r>
            <w:r>
              <w:rPr>
                <w:rFonts w:hint="eastAsia"/>
                <w:color w:val="auto"/>
                <w:lang w:val="en-US" w:eastAsia="zh-CN"/>
              </w:rPr>
              <w:t>评审</w:t>
            </w:r>
            <w:r>
              <w:rPr>
                <w:rFonts w:hint="eastAsia"/>
                <w:color w:val="auto"/>
              </w:rPr>
              <w:t>小组</w:t>
            </w:r>
            <w:r>
              <w:rPr>
                <w:color w:val="auto"/>
              </w:rPr>
              <w:t>要求递交的合格</w:t>
            </w:r>
            <w:r>
              <w:rPr>
                <w:rFonts w:hint="eastAsia"/>
                <w:color w:val="auto"/>
              </w:rPr>
              <w:t>的</w:t>
            </w:r>
            <w:r>
              <w:rPr>
                <w:color w:val="auto"/>
              </w:rPr>
              <w:t>书面澄清、补正文件</w:t>
            </w:r>
            <w:r>
              <w:rPr>
                <w:rFonts w:hint="eastAsia"/>
                <w:color w:val="auto"/>
              </w:rPr>
              <w:t>。</w:t>
            </w:r>
          </w:p>
        </w:tc>
      </w:tr>
      <w:tr w14:paraId="4D44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083" w:type="dxa"/>
            <w:noWrap w:val="0"/>
            <w:vAlign w:val="center"/>
          </w:tcPr>
          <w:p w14:paraId="5675146A">
            <w:pPr>
              <w:jc w:val="center"/>
              <w:rPr>
                <w:rFonts w:hint="default" w:ascii="Times New Roman" w:hAnsi="Times New Roman" w:eastAsia="宋体" w:cs="Times New Roman"/>
                <w:color w:val="auto"/>
                <w:kern w:val="2"/>
                <w:sz w:val="21"/>
                <w:szCs w:val="24"/>
                <w:lang w:val="en-US" w:eastAsia="zh-CN" w:bidi="ar-SA"/>
              </w:rPr>
            </w:pPr>
            <w:r>
              <w:rPr>
                <w:rFonts w:hint="eastAsia" w:eastAsia="宋体"/>
                <w:color w:val="auto"/>
                <w:lang w:val="en-US" w:eastAsia="zh-CN"/>
              </w:rPr>
              <w:t>19.1</w:t>
            </w:r>
          </w:p>
        </w:tc>
        <w:tc>
          <w:tcPr>
            <w:tcW w:w="1512" w:type="dxa"/>
            <w:gridSpan w:val="2"/>
            <w:noWrap w:val="0"/>
            <w:vAlign w:val="center"/>
          </w:tcPr>
          <w:p w14:paraId="225214AF">
            <w:pPr>
              <w:jc w:val="center"/>
              <w:rPr>
                <w:rFonts w:hint="eastAsia" w:ascii="Times New Roman" w:hAnsi="Times New Roman" w:eastAsia="宋体" w:cs="Times New Roman"/>
                <w:color w:val="auto"/>
                <w:kern w:val="2"/>
                <w:sz w:val="21"/>
                <w:szCs w:val="24"/>
                <w:lang w:val="en-US" w:eastAsia="zh-CN" w:bidi="ar-SA"/>
              </w:rPr>
            </w:pPr>
            <w:r>
              <w:rPr>
                <w:rFonts w:hint="eastAsia" w:hAnsi="宋体"/>
                <w:color w:val="auto"/>
                <w:szCs w:val="21"/>
              </w:rPr>
              <w:t>★</w:t>
            </w:r>
            <w:r>
              <w:rPr>
                <w:rFonts w:hint="eastAsia"/>
                <w:color w:val="auto"/>
              </w:rPr>
              <w:t>投标有效期</w:t>
            </w:r>
          </w:p>
        </w:tc>
        <w:tc>
          <w:tcPr>
            <w:tcW w:w="7515" w:type="dxa"/>
            <w:noWrap w:val="0"/>
            <w:vAlign w:val="center"/>
          </w:tcPr>
          <w:p w14:paraId="25B79592">
            <w:pPr>
              <w:rPr>
                <w:rFonts w:hint="eastAsia" w:ascii="Times New Roman" w:hAnsi="Times New Roman" w:eastAsia="宋体" w:cs="Times New Roman"/>
                <w:color w:val="auto"/>
                <w:kern w:val="2"/>
                <w:sz w:val="21"/>
                <w:szCs w:val="24"/>
                <w:lang w:val="en-US" w:eastAsia="zh-CN" w:bidi="ar-SA"/>
              </w:rPr>
            </w:pPr>
            <w:r>
              <w:rPr>
                <w:rFonts w:hint="eastAsia"/>
                <w:color w:val="auto"/>
              </w:rPr>
              <w:t>从提交</w:t>
            </w:r>
            <w:r>
              <w:rPr>
                <w:rFonts w:hint="eastAsia" w:ascii="宋体" w:hAnsi="宋体" w:eastAsia="宋体" w:cs="宋体"/>
                <w:color w:val="auto"/>
                <w:lang w:val="en-US" w:eastAsia="zh-CN"/>
              </w:rPr>
              <w:t>投标</w:t>
            </w:r>
            <w:r>
              <w:rPr>
                <w:rFonts w:hint="eastAsia"/>
                <w:color w:val="auto"/>
              </w:rPr>
              <w:t>文件截止之日起</w:t>
            </w:r>
            <w:r>
              <w:rPr>
                <w:rFonts w:hint="eastAsia"/>
                <w:color w:val="auto"/>
                <w:u w:val="single"/>
              </w:rPr>
              <w:t>90</w:t>
            </w:r>
            <w:r>
              <w:rPr>
                <w:rFonts w:hint="eastAsia"/>
                <w:color w:val="auto"/>
              </w:rPr>
              <w:t>日历天。</w:t>
            </w:r>
          </w:p>
        </w:tc>
      </w:tr>
      <w:tr w14:paraId="45E1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083" w:type="dxa"/>
            <w:noWrap w:val="0"/>
            <w:vAlign w:val="center"/>
          </w:tcPr>
          <w:p w14:paraId="40477970">
            <w:pPr>
              <w:jc w:val="center"/>
              <w:rPr>
                <w:rFonts w:hint="default" w:eastAsia="宋体"/>
                <w:color w:val="auto"/>
                <w:lang w:val="en-US" w:eastAsia="zh-CN"/>
              </w:rPr>
            </w:pPr>
            <w:r>
              <w:rPr>
                <w:rFonts w:hint="eastAsia"/>
                <w:color w:val="auto"/>
                <w:lang w:val="en-US" w:eastAsia="zh-CN"/>
              </w:rPr>
              <w:t>20.1</w:t>
            </w:r>
          </w:p>
        </w:tc>
        <w:tc>
          <w:tcPr>
            <w:tcW w:w="1512" w:type="dxa"/>
            <w:gridSpan w:val="2"/>
            <w:noWrap w:val="0"/>
            <w:vAlign w:val="center"/>
          </w:tcPr>
          <w:p w14:paraId="5A709926">
            <w:pPr>
              <w:jc w:val="center"/>
              <w:rPr>
                <w:color w:val="auto"/>
              </w:rPr>
            </w:pPr>
            <w:r>
              <w:rPr>
                <w:rFonts w:hint="eastAsia"/>
                <w:color w:val="auto"/>
                <w:lang w:val="en-US" w:eastAsia="zh-CN"/>
              </w:rPr>
              <w:t>投标</w:t>
            </w:r>
            <w:r>
              <w:rPr>
                <w:rFonts w:hint="eastAsia"/>
                <w:color w:val="auto"/>
              </w:rPr>
              <w:t>保证金</w:t>
            </w:r>
          </w:p>
        </w:tc>
        <w:tc>
          <w:tcPr>
            <w:tcW w:w="7515" w:type="dxa"/>
            <w:noWrap w:val="0"/>
            <w:vAlign w:val="center"/>
          </w:tcPr>
          <w:p w14:paraId="24503F58">
            <w:pPr>
              <w:rPr>
                <w:color w:val="auto"/>
              </w:rPr>
            </w:pPr>
            <w:r>
              <w:rPr>
                <w:rFonts w:hint="eastAsia" w:hAnsi="宋体" w:cs="宋体"/>
                <w:color w:val="auto"/>
                <w:kern w:val="0"/>
                <w:szCs w:val="21"/>
              </w:rPr>
              <w:t>本项目不收取</w:t>
            </w:r>
            <w:r>
              <w:rPr>
                <w:rFonts w:hint="eastAsia" w:hAnsi="宋体" w:cs="宋体"/>
                <w:color w:val="auto"/>
                <w:kern w:val="0"/>
                <w:szCs w:val="21"/>
                <w:lang w:val="en-US" w:eastAsia="zh-CN"/>
              </w:rPr>
              <w:t>投标</w:t>
            </w:r>
            <w:r>
              <w:rPr>
                <w:rFonts w:hint="eastAsia" w:hAnsi="宋体" w:cs="宋体"/>
                <w:color w:val="auto"/>
                <w:kern w:val="0"/>
                <w:szCs w:val="21"/>
              </w:rPr>
              <w:t>保证金。</w:t>
            </w:r>
          </w:p>
        </w:tc>
      </w:tr>
      <w:tr w14:paraId="4310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83" w:type="dxa"/>
            <w:noWrap w:val="0"/>
            <w:vAlign w:val="center"/>
          </w:tcPr>
          <w:p w14:paraId="4C604934">
            <w:pPr>
              <w:jc w:val="center"/>
              <w:rPr>
                <w:rFonts w:hint="default" w:eastAsia="宋体"/>
                <w:color w:val="auto"/>
                <w:lang w:val="en-US" w:eastAsia="zh-CN"/>
              </w:rPr>
            </w:pPr>
            <w:r>
              <w:rPr>
                <w:rFonts w:hint="eastAsia"/>
                <w:color w:val="auto"/>
                <w:lang w:val="en-US" w:eastAsia="zh-CN"/>
              </w:rPr>
              <w:t>21.1</w:t>
            </w:r>
          </w:p>
        </w:tc>
        <w:tc>
          <w:tcPr>
            <w:tcW w:w="1512" w:type="dxa"/>
            <w:gridSpan w:val="2"/>
            <w:noWrap w:val="0"/>
            <w:vAlign w:val="center"/>
          </w:tcPr>
          <w:p w14:paraId="575BD7DA">
            <w:pPr>
              <w:jc w:val="center"/>
              <w:rPr>
                <w:color w:val="auto"/>
              </w:rPr>
            </w:pPr>
            <w:r>
              <w:rPr>
                <w:rFonts w:hint="eastAsia"/>
                <w:color w:val="auto"/>
              </w:rPr>
              <w:t>是否允许递交备选方案</w:t>
            </w:r>
          </w:p>
        </w:tc>
        <w:tc>
          <w:tcPr>
            <w:tcW w:w="7515" w:type="dxa"/>
            <w:noWrap w:val="0"/>
            <w:vAlign w:val="center"/>
          </w:tcPr>
          <w:p w14:paraId="649842F7">
            <w:pPr>
              <w:rPr>
                <w:color w:val="auto"/>
              </w:rPr>
            </w:pPr>
            <w:r>
              <w:rPr>
                <w:rFonts w:hint="eastAsia" w:ascii="宋体" w:hAnsi="宋体" w:cs="宋体"/>
                <w:color w:val="auto"/>
              </w:rPr>
              <w:t>■</w:t>
            </w:r>
            <w:r>
              <w:rPr>
                <w:rFonts w:hint="eastAsia"/>
                <w:color w:val="auto"/>
              </w:rPr>
              <w:t>不允许</w:t>
            </w:r>
          </w:p>
          <w:p w14:paraId="5BDC8D13">
            <w:pPr>
              <w:rPr>
                <w:color w:val="auto"/>
                <w:u w:val="single"/>
              </w:rPr>
            </w:pPr>
            <w:r>
              <w:rPr>
                <w:rFonts w:hint="eastAsia"/>
                <w:color w:val="auto"/>
              </w:rPr>
              <w:t>□允许，……。</w:t>
            </w:r>
          </w:p>
        </w:tc>
      </w:tr>
      <w:tr w14:paraId="47D7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noWrap w:val="0"/>
            <w:vAlign w:val="center"/>
          </w:tcPr>
          <w:p w14:paraId="53AF683E">
            <w:pPr>
              <w:jc w:val="center"/>
              <w:rPr>
                <w:rFonts w:hint="default" w:eastAsia="宋体"/>
                <w:color w:val="auto"/>
                <w:lang w:val="en-US" w:eastAsia="zh-CN"/>
              </w:rPr>
            </w:pPr>
            <w:r>
              <w:rPr>
                <w:rFonts w:hint="eastAsia"/>
                <w:color w:val="auto"/>
                <w:lang w:val="en-US" w:eastAsia="zh-CN"/>
              </w:rPr>
              <w:t>22.1</w:t>
            </w:r>
          </w:p>
        </w:tc>
        <w:tc>
          <w:tcPr>
            <w:tcW w:w="1512" w:type="dxa"/>
            <w:gridSpan w:val="2"/>
            <w:noWrap w:val="0"/>
            <w:vAlign w:val="center"/>
          </w:tcPr>
          <w:p w14:paraId="0FE91780">
            <w:pPr>
              <w:pStyle w:val="18"/>
              <w:spacing w:line="0" w:lineRule="atLeast"/>
              <w:jc w:val="center"/>
              <w:rPr>
                <w:color w:val="auto"/>
              </w:rPr>
            </w:pPr>
            <w:r>
              <w:rPr>
                <w:rFonts w:hint="eastAsia" w:hAnsi="宋体"/>
                <w:color w:val="auto"/>
                <w:szCs w:val="21"/>
              </w:rPr>
              <w:t>★</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文件电子签章及</w:t>
            </w:r>
            <w:r>
              <w:rPr>
                <w:rFonts w:hint="eastAsia" w:hAnsi="宋体" w:cs="宋体"/>
                <w:color w:val="auto"/>
                <w:sz w:val="21"/>
                <w:szCs w:val="21"/>
              </w:rPr>
              <w:t>电子签名要求</w:t>
            </w:r>
          </w:p>
        </w:tc>
        <w:tc>
          <w:tcPr>
            <w:tcW w:w="7515" w:type="dxa"/>
            <w:noWrap w:val="0"/>
            <w:vAlign w:val="center"/>
          </w:tcPr>
          <w:p w14:paraId="251A4066">
            <w:pPr>
              <w:rPr>
                <w:rFonts w:hAnsi="宋体" w:cs="宋体"/>
                <w:color w:val="auto"/>
                <w:kern w:val="0"/>
                <w:szCs w:val="21"/>
              </w:rPr>
            </w:pPr>
            <w:r>
              <w:rPr>
                <w:rFonts w:hint="eastAsia" w:hAnsi="宋体" w:cs="宋体"/>
                <w:color w:val="auto"/>
                <w:kern w:val="0"/>
                <w:szCs w:val="21"/>
              </w:rPr>
              <w:t>按照</w:t>
            </w:r>
            <w:r>
              <w:rPr>
                <w:rFonts w:hint="eastAsia" w:ascii="宋体" w:hAnsi="宋体" w:eastAsia="宋体" w:cs="宋体"/>
                <w:color w:val="auto"/>
                <w:lang w:val="en-US" w:eastAsia="zh-CN"/>
              </w:rPr>
              <w:t>投标</w:t>
            </w:r>
            <w:r>
              <w:rPr>
                <w:rFonts w:hint="eastAsia" w:hAnsi="宋体" w:cs="宋体"/>
                <w:color w:val="auto"/>
                <w:kern w:val="0"/>
                <w:szCs w:val="21"/>
              </w:rPr>
              <w:t>文件格式，采用企业、法定代表人电子签章及数字证书电子签名。</w:t>
            </w:r>
          </w:p>
          <w:p w14:paraId="615B5A16">
            <w:pPr>
              <w:rPr>
                <w:rFonts w:hAnsi="宋体" w:cs="宋体"/>
                <w:color w:val="auto"/>
                <w:kern w:val="0"/>
                <w:szCs w:val="21"/>
              </w:rPr>
            </w:pPr>
            <w:r>
              <w:rPr>
                <w:rFonts w:hint="eastAsia" w:hAnsi="宋体" w:cs="宋体"/>
                <w:color w:val="auto"/>
                <w:kern w:val="0"/>
                <w:szCs w:val="21"/>
              </w:rPr>
              <w:t>注：1、在需要电子签章的地方进行电子签章。</w:t>
            </w:r>
          </w:p>
          <w:p w14:paraId="04B69D12">
            <w:pPr>
              <w:ind w:firstLine="420" w:firstLineChars="200"/>
              <w:rPr>
                <w:color w:val="auto"/>
              </w:rPr>
            </w:pPr>
            <w:r>
              <w:rPr>
                <w:rFonts w:hint="eastAsia" w:hAnsi="宋体" w:cs="宋体"/>
                <w:color w:val="auto"/>
                <w:kern w:val="0"/>
                <w:szCs w:val="21"/>
              </w:rPr>
              <w:t>2、</w:t>
            </w:r>
            <w:r>
              <w:rPr>
                <w:rFonts w:hint="eastAsia" w:ascii="宋体" w:hAnsi="宋体" w:eastAsia="宋体" w:cs="宋体"/>
                <w:color w:val="auto"/>
                <w:lang w:val="en-US" w:eastAsia="zh-CN"/>
              </w:rPr>
              <w:t>投标</w:t>
            </w:r>
            <w:r>
              <w:rPr>
                <w:rFonts w:hint="eastAsia" w:hAnsi="宋体" w:cs="宋体"/>
                <w:color w:val="auto"/>
                <w:kern w:val="0"/>
                <w:szCs w:val="21"/>
              </w:rPr>
              <w:t>文件须编制目录及页码。</w:t>
            </w:r>
          </w:p>
        </w:tc>
      </w:tr>
      <w:tr w14:paraId="1487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083" w:type="dxa"/>
            <w:noWrap w:val="0"/>
            <w:vAlign w:val="center"/>
          </w:tcPr>
          <w:p w14:paraId="27FD1747">
            <w:pPr>
              <w:jc w:val="center"/>
              <w:rPr>
                <w:rFonts w:hint="default" w:eastAsia="宋体"/>
                <w:color w:val="auto"/>
                <w:lang w:val="en-US" w:eastAsia="zh-CN"/>
              </w:rPr>
            </w:pPr>
            <w:r>
              <w:rPr>
                <w:rFonts w:hint="eastAsia"/>
                <w:color w:val="auto"/>
                <w:lang w:val="en-US" w:eastAsia="zh-CN"/>
              </w:rPr>
              <w:t>23.1</w:t>
            </w:r>
          </w:p>
        </w:tc>
        <w:tc>
          <w:tcPr>
            <w:tcW w:w="1512" w:type="dxa"/>
            <w:gridSpan w:val="2"/>
            <w:noWrap w:val="0"/>
            <w:vAlign w:val="center"/>
          </w:tcPr>
          <w:p w14:paraId="6A9113DB">
            <w:pPr>
              <w:pStyle w:val="10"/>
              <w:spacing w:line="360" w:lineRule="exact"/>
              <w:jc w:val="center"/>
              <w:rPr>
                <w:color w:val="auto"/>
                <w:szCs w:val="21"/>
              </w:rPr>
            </w:pPr>
            <w:r>
              <w:rPr>
                <w:rFonts w:hint="eastAsia" w:hAnsi="宋体"/>
                <w:color w:val="auto"/>
                <w:szCs w:val="21"/>
              </w:rPr>
              <w:t>★</w:t>
            </w:r>
            <w:r>
              <w:rPr>
                <w:rFonts w:hint="eastAsia" w:cs="宋体"/>
                <w:color w:val="auto"/>
                <w:szCs w:val="21"/>
              </w:rPr>
              <w:t>提交</w:t>
            </w:r>
            <w:r>
              <w:rPr>
                <w:rFonts w:hint="eastAsia" w:ascii="宋体" w:hAnsi="宋体" w:eastAsia="宋体" w:cs="宋体"/>
                <w:color w:val="auto"/>
                <w:lang w:val="en-US" w:eastAsia="zh-CN"/>
              </w:rPr>
              <w:t>投标</w:t>
            </w:r>
            <w:r>
              <w:rPr>
                <w:rFonts w:hint="eastAsia" w:cs="宋体"/>
                <w:color w:val="auto"/>
                <w:szCs w:val="21"/>
              </w:rPr>
              <w:t>文件截止时间和地点</w:t>
            </w:r>
          </w:p>
        </w:tc>
        <w:tc>
          <w:tcPr>
            <w:tcW w:w="7515" w:type="dxa"/>
            <w:noWrap w:val="0"/>
            <w:vAlign w:val="center"/>
          </w:tcPr>
          <w:p w14:paraId="0890650B">
            <w:pPr>
              <w:pStyle w:val="10"/>
              <w:spacing w:line="360" w:lineRule="exact"/>
              <w:rPr>
                <w:rFonts w:hint="eastAsia"/>
                <w:color w:val="auto"/>
                <w:szCs w:val="21"/>
              </w:rPr>
            </w:pPr>
            <w:r>
              <w:rPr>
                <w:rFonts w:hint="eastAsia"/>
                <w:color w:val="auto"/>
                <w:szCs w:val="21"/>
              </w:rPr>
              <w:t>在投标截止时间</w:t>
            </w:r>
            <w:r>
              <w:rPr>
                <w:rFonts w:hint="eastAsia"/>
                <w:color w:val="auto"/>
                <w:szCs w:val="21"/>
                <w:u w:val="single"/>
              </w:rPr>
              <w:t>202</w:t>
            </w:r>
            <w:r>
              <w:rPr>
                <w:rFonts w:hint="eastAsia"/>
                <w:color w:val="auto"/>
                <w:szCs w:val="21"/>
                <w:u w:val="single"/>
                <w:lang w:val="en-US" w:eastAsia="zh-CN"/>
              </w:rPr>
              <w:t>6</w:t>
            </w:r>
            <w:r>
              <w:rPr>
                <w:rFonts w:hint="eastAsia"/>
                <w:color w:val="auto"/>
                <w:szCs w:val="21"/>
                <w:u w:val="single"/>
              </w:rPr>
              <w:t>年</w:t>
            </w:r>
            <w:r>
              <w:rPr>
                <w:rFonts w:hint="eastAsia"/>
                <w:color w:val="auto"/>
                <w:szCs w:val="21"/>
                <w:u w:val="single"/>
                <w:lang w:val="en-US" w:eastAsia="zh-CN"/>
              </w:rPr>
              <w:t>09</w:t>
            </w:r>
            <w:r>
              <w:rPr>
                <w:rFonts w:hint="eastAsia"/>
                <w:color w:val="auto"/>
                <w:szCs w:val="21"/>
                <w:u w:val="single"/>
              </w:rPr>
              <w:t>月</w:t>
            </w:r>
            <w:r>
              <w:rPr>
                <w:rFonts w:hint="eastAsia"/>
                <w:color w:val="auto"/>
                <w:szCs w:val="21"/>
                <w:u w:val="single"/>
                <w:lang w:val="en-US" w:eastAsia="zh-CN"/>
              </w:rPr>
              <w:t>01</w:t>
            </w:r>
            <w:bookmarkStart w:id="127" w:name="_GoBack"/>
            <w:bookmarkEnd w:id="127"/>
            <w:r>
              <w:rPr>
                <w:rFonts w:hint="eastAsia"/>
                <w:color w:val="auto"/>
                <w:szCs w:val="21"/>
                <w:u w:val="single"/>
              </w:rPr>
              <w:t>日</w:t>
            </w:r>
            <w:r>
              <w:rPr>
                <w:rFonts w:hint="eastAsia"/>
                <w:color w:val="auto"/>
                <w:szCs w:val="21"/>
                <w:u w:val="single"/>
                <w:lang w:val="en-US" w:eastAsia="zh-CN"/>
              </w:rPr>
              <w:t>15时00分</w:t>
            </w:r>
            <w:r>
              <w:rPr>
                <w:rFonts w:hint="eastAsia"/>
                <w:color w:val="auto"/>
                <w:szCs w:val="21"/>
              </w:rPr>
              <w:t>（北京时间）</w:t>
            </w:r>
          </w:p>
          <w:p w14:paraId="5DAFC115">
            <w:pPr>
              <w:spacing w:line="360" w:lineRule="auto"/>
              <w:jc w:val="left"/>
              <w:rPr>
                <w:rFonts w:hint="eastAsia" w:ascii="Times New Roman" w:hAnsi="Times New Roman" w:eastAsia="宋体" w:cs="Times New Roman"/>
                <w:color w:val="auto"/>
                <w:szCs w:val="21"/>
                <w:lang w:val="en-US" w:eastAsia="zh-CN"/>
              </w:rPr>
            </w:pPr>
            <w:r>
              <w:rPr>
                <w:rFonts w:hint="eastAsia"/>
                <w:color w:val="auto"/>
                <w:szCs w:val="21"/>
                <w:lang w:val="en-US" w:eastAsia="zh-CN"/>
              </w:rPr>
              <w:t>地</w:t>
            </w:r>
            <w:r>
              <w:rPr>
                <w:rFonts w:hint="eastAsia" w:ascii="Times New Roman" w:hAnsi="Times New Roman" w:eastAsia="宋体" w:cs="Times New Roman"/>
                <w:color w:val="auto"/>
                <w:szCs w:val="21"/>
                <w:lang w:val="en-US" w:eastAsia="zh-CN"/>
              </w:rPr>
              <w:t>点：网上递交，投标人需登录“政采云”平台（http：//www.zcygov.cn）在投标截止时间前完成所有投标文件的上传，网上确认电子签名，投标截止时间前未完成投标文件传输的，视为撤回投标文件。</w:t>
            </w:r>
          </w:p>
          <w:p w14:paraId="3200F30E">
            <w:pPr>
              <w:spacing w:line="360" w:lineRule="auto"/>
              <w:jc w:val="left"/>
              <w:rPr>
                <w:rFonts w:hint="eastAsia" w:eastAsia="宋体"/>
                <w:color w:val="auto"/>
                <w:szCs w:val="21"/>
                <w:lang w:val="en-US" w:eastAsia="zh-CN"/>
              </w:rPr>
            </w:pPr>
            <w:r>
              <w:rPr>
                <w:rFonts w:hint="eastAsia" w:ascii="Times New Roman" w:hAnsi="Times New Roman" w:eastAsia="宋体" w:cs="Times New Roman"/>
                <w:color w:val="auto"/>
                <w:szCs w:val="21"/>
                <w:lang w:val="en-US" w:eastAsia="zh-CN"/>
              </w:rPr>
              <w:t>注：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投标文件的，“政采云”平台将予以拒收。</w:t>
            </w:r>
          </w:p>
        </w:tc>
      </w:tr>
      <w:tr w14:paraId="161F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83" w:type="dxa"/>
            <w:noWrap w:val="0"/>
            <w:vAlign w:val="center"/>
          </w:tcPr>
          <w:p w14:paraId="490C83A5">
            <w:pPr>
              <w:jc w:val="center"/>
              <w:rPr>
                <w:rFonts w:hint="default" w:eastAsia="宋体"/>
                <w:color w:val="auto"/>
                <w:lang w:val="en-US" w:eastAsia="zh-CN"/>
              </w:rPr>
            </w:pPr>
            <w:r>
              <w:rPr>
                <w:rFonts w:hint="eastAsia"/>
                <w:color w:val="auto"/>
                <w:lang w:val="en-US" w:eastAsia="zh-CN"/>
              </w:rPr>
              <w:t>24.1</w:t>
            </w:r>
          </w:p>
        </w:tc>
        <w:tc>
          <w:tcPr>
            <w:tcW w:w="1512" w:type="dxa"/>
            <w:gridSpan w:val="2"/>
            <w:noWrap w:val="0"/>
            <w:vAlign w:val="center"/>
          </w:tcPr>
          <w:p w14:paraId="50280EB4">
            <w:pPr>
              <w:pStyle w:val="10"/>
              <w:spacing w:line="360" w:lineRule="exact"/>
              <w:jc w:val="center"/>
              <w:rPr>
                <w:rFonts w:cs="宋体"/>
                <w:color w:val="auto"/>
                <w:szCs w:val="21"/>
              </w:rPr>
            </w:pPr>
            <w:r>
              <w:rPr>
                <w:rFonts w:hint="eastAsia" w:cs="宋体"/>
                <w:color w:val="auto"/>
                <w:szCs w:val="21"/>
              </w:rPr>
              <w:t>电子</w:t>
            </w:r>
            <w:r>
              <w:rPr>
                <w:rFonts w:hint="eastAsia" w:ascii="宋体" w:hAnsi="宋体" w:eastAsia="宋体" w:cs="宋体"/>
                <w:color w:val="auto"/>
                <w:lang w:val="en-US" w:eastAsia="zh-CN"/>
              </w:rPr>
              <w:t>投标</w:t>
            </w:r>
            <w:r>
              <w:rPr>
                <w:rFonts w:hint="eastAsia" w:cs="宋体"/>
                <w:color w:val="auto"/>
                <w:szCs w:val="21"/>
              </w:rPr>
              <w:t>文件的递交及解密</w:t>
            </w:r>
          </w:p>
        </w:tc>
        <w:tc>
          <w:tcPr>
            <w:tcW w:w="7515" w:type="dxa"/>
            <w:noWrap w:val="0"/>
            <w:vAlign w:val="center"/>
          </w:tcPr>
          <w:p w14:paraId="224AACD9">
            <w:pPr>
              <w:pStyle w:val="10"/>
              <w:spacing w:line="360" w:lineRule="exact"/>
              <w:jc w:val="left"/>
              <w:rPr>
                <w:rFonts w:cs="宋体"/>
                <w:color w:val="auto"/>
                <w:szCs w:val="21"/>
              </w:rPr>
            </w:pPr>
            <w:r>
              <w:rPr>
                <w:rFonts w:hint="eastAsia" w:cs="宋体"/>
                <w:color w:val="auto"/>
                <w:szCs w:val="21"/>
              </w:rPr>
              <w:t>（1）电子投标（响应）文件应使用“政采云”平台（http：//www.zcygov.cn）中下载的政采云电子投标客户端制作，并进行电子签章及加密后上传至政采云平台。</w:t>
            </w:r>
          </w:p>
          <w:p w14:paraId="620D4EAC">
            <w:pPr>
              <w:pStyle w:val="10"/>
              <w:spacing w:line="360" w:lineRule="exact"/>
              <w:jc w:val="left"/>
              <w:rPr>
                <w:rFonts w:cs="宋体"/>
                <w:color w:val="auto"/>
                <w:szCs w:val="21"/>
              </w:rPr>
            </w:pPr>
            <w:r>
              <w:rPr>
                <w:rFonts w:hint="eastAsia" w:cs="宋体"/>
                <w:color w:val="auto"/>
                <w:szCs w:val="21"/>
              </w:rPr>
              <w:t>（2）如供应商提交的电子标书不符合（1）要求或开标时无法读取导入或解密，其投标（响应）文件将不予受理。</w:t>
            </w:r>
          </w:p>
          <w:p w14:paraId="18201045">
            <w:pPr>
              <w:pStyle w:val="10"/>
              <w:spacing w:line="360" w:lineRule="exact"/>
              <w:jc w:val="left"/>
              <w:rPr>
                <w:rFonts w:cs="宋体"/>
                <w:color w:val="auto"/>
                <w:szCs w:val="21"/>
              </w:rPr>
            </w:pPr>
            <w:r>
              <w:rPr>
                <w:rFonts w:hint="eastAsia" w:cs="宋体"/>
                <w:color w:val="auto"/>
                <w:szCs w:val="21"/>
              </w:rPr>
              <w:t>（3）采购代理机构将依托电子交易平台发起开始解密指令，供应商的法定代表人或其委托代理人须携带加密时所用的CA锁按平台提示和</w:t>
            </w:r>
            <w:r>
              <w:rPr>
                <w:rFonts w:hint="eastAsia" w:cs="宋体"/>
                <w:color w:val="auto"/>
                <w:szCs w:val="21"/>
                <w:lang w:val="en-US" w:eastAsia="zh-CN"/>
              </w:rPr>
              <w:t>采购招标</w:t>
            </w:r>
            <w:r>
              <w:rPr>
                <w:rFonts w:hint="eastAsia" w:cs="宋体"/>
                <w:color w:val="auto"/>
                <w:szCs w:val="21"/>
              </w:rPr>
              <w:t>文件的规定登录到“政采云”平台电子开标大厅签到并在发起解密指令之时起30分钟内完成对电子</w:t>
            </w:r>
            <w:r>
              <w:rPr>
                <w:rFonts w:hint="eastAsia" w:ascii="宋体" w:hAnsi="宋体" w:eastAsia="宋体" w:cs="宋体"/>
                <w:color w:val="auto"/>
                <w:lang w:val="en-US" w:eastAsia="zh-CN"/>
              </w:rPr>
              <w:t>投标</w:t>
            </w:r>
            <w:r>
              <w:rPr>
                <w:rFonts w:hint="eastAsia" w:cs="宋体"/>
                <w:color w:val="auto"/>
                <w:szCs w:val="21"/>
              </w:rPr>
              <w:t>文件在线解密。响应文件未按时解密的，视为</w:t>
            </w:r>
            <w:r>
              <w:rPr>
                <w:rFonts w:hint="eastAsia" w:ascii="宋体" w:hAnsi="宋体" w:eastAsia="宋体" w:cs="宋体"/>
                <w:color w:val="auto"/>
                <w:lang w:val="en-US" w:eastAsia="zh-CN"/>
              </w:rPr>
              <w:t>投标</w:t>
            </w:r>
            <w:r>
              <w:rPr>
                <w:rFonts w:hint="eastAsia" w:cs="宋体"/>
                <w:color w:val="auto"/>
                <w:szCs w:val="21"/>
              </w:rPr>
              <w:t>文件无效。</w:t>
            </w:r>
          </w:p>
        </w:tc>
      </w:tr>
      <w:tr w14:paraId="69EA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83" w:type="dxa"/>
            <w:noWrap w:val="0"/>
            <w:vAlign w:val="center"/>
          </w:tcPr>
          <w:p w14:paraId="1B61EF44">
            <w:pPr>
              <w:jc w:val="center"/>
              <w:rPr>
                <w:rFonts w:hint="default" w:eastAsia="宋体"/>
                <w:color w:val="auto"/>
                <w:lang w:val="en-US" w:eastAsia="zh-CN"/>
              </w:rPr>
            </w:pPr>
            <w:r>
              <w:rPr>
                <w:rFonts w:hint="eastAsia" w:eastAsia="宋体"/>
                <w:color w:val="auto"/>
                <w:lang w:val="en-US" w:eastAsia="zh-CN"/>
              </w:rPr>
              <w:t>25.1</w:t>
            </w:r>
          </w:p>
        </w:tc>
        <w:tc>
          <w:tcPr>
            <w:tcW w:w="1512" w:type="dxa"/>
            <w:gridSpan w:val="2"/>
            <w:noWrap w:val="0"/>
            <w:vAlign w:val="center"/>
          </w:tcPr>
          <w:p w14:paraId="236FD3FF">
            <w:pPr>
              <w:jc w:val="center"/>
              <w:rPr>
                <w:color w:val="auto"/>
              </w:rPr>
            </w:pPr>
            <w:r>
              <w:rPr>
                <w:rFonts w:hint="eastAsia"/>
                <w:color w:val="auto"/>
              </w:rPr>
              <w:t>是否退还</w:t>
            </w:r>
            <w:r>
              <w:rPr>
                <w:rFonts w:hint="eastAsia" w:ascii="宋体" w:hAnsi="宋体" w:eastAsia="宋体" w:cs="宋体"/>
                <w:color w:val="auto"/>
                <w:lang w:val="en-US" w:eastAsia="zh-CN"/>
              </w:rPr>
              <w:t>投标</w:t>
            </w:r>
            <w:r>
              <w:rPr>
                <w:rFonts w:hint="eastAsia"/>
                <w:color w:val="auto"/>
              </w:rPr>
              <w:t>文件</w:t>
            </w:r>
          </w:p>
        </w:tc>
        <w:tc>
          <w:tcPr>
            <w:tcW w:w="7515" w:type="dxa"/>
            <w:noWrap w:val="0"/>
            <w:vAlign w:val="center"/>
          </w:tcPr>
          <w:p w14:paraId="75F89D5C">
            <w:pPr>
              <w:rPr>
                <w:color w:val="auto"/>
              </w:rPr>
            </w:pPr>
            <w:r>
              <w:rPr>
                <w:rFonts w:hint="eastAsia" w:ascii="宋体" w:hAnsi="宋体" w:cs="宋体"/>
                <w:color w:val="auto"/>
              </w:rPr>
              <w:t>■</w:t>
            </w:r>
            <w:r>
              <w:rPr>
                <w:rFonts w:hint="eastAsia"/>
                <w:color w:val="auto"/>
              </w:rPr>
              <w:t>否</w:t>
            </w:r>
          </w:p>
          <w:p w14:paraId="43E1DB15">
            <w:pPr>
              <w:rPr>
                <w:color w:val="auto"/>
                <w:u w:val="single"/>
              </w:rPr>
            </w:pPr>
            <w:r>
              <w:rPr>
                <w:rFonts w:hint="eastAsia"/>
                <w:color w:val="auto"/>
              </w:rPr>
              <w:t>□是，退还安排：/</w:t>
            </w:r>
          </w:p>
        </w:tc>
      </w:tr>
      <w:tr w14:paraId="082F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83" w:type="dxa"/>
            <w:noWrap w:val="0"/>
            <w:vAlign w:val="center"/>
          </w:tcPr>
          <w:p w14:paraId="1CFE5A5D">
            <w:pPr>
              <w:jc w:val="center"/>
              <w:rPr>
                <w:rFonts w:hint="default" w:eastAsia="宋体"/>
                <w:color w:val="auto"/>
                <w:lang w:val="en-US" w:eastAsia="zh-CN"/>
              </w:rPr>
            </w:pPr>
            <w:r>
              <w:rPr>
                <w:rFonts w:hint="eastAsia"/>
                <w:color w:val="auto"/>
                <w:lang w:val="en-US" w:eastAsia="zh-CN"/>
              </w:rPr>
              <w:t>26.1</w:t>
            </w:r>
          </w:p>
        </w:tc>
        <w:tc>
          <w:tcPr>
            <w:tcW w:w="1512" w:type="dxa"/>
            <w:gridSpan w:val="2"/>
            <w:noWrap w:val="0"/>
            <w:vAlign w:val="center"/>
          </w:tcPr>
          <w:p w14:paraId="5A9B8846">
            <w:pPr>
              <w:pStyle w:val="10"/>
              <w:jc w:val="center"/>
              <w:rPr>
                <w:color w:val="auto"/>
                <w:szCs w:val="21"/>
              </w:rPr>
            </w:pPr>
            <w:r>
              <w:rPr>
                <w:rFonts w:hint="eastAsia"/>
                <w:color w:val="auto"/>
              </w:rPr>
              <w:t>开标时间和地点</w:t>
            </w:r>
          </w:p>
        </w:tc>
        <w:tc>
          <w:tcPr>
            <w:tcW w:w="7515" w:type="dxa"/>
            <w:noWrap w:val="0"/>
            <w:vAlign w:val="center"/>
          </w:tcPr>
          <w:p w14:paraId="10510C5F">
            <w:pPr>
              <w:pStyle w:val="10"/>
              <w:rPr>
                <w:rFonts w:hint="default" w:eastAsia="宋体"/>
                <w:color w:val="auto"/>
                <w:kern w:val="0"/>
                <w:highlight w:val="yellow"/>
                <w:u w:val="single"/>
                <w:lang w:val="en-US" w:eastAsia="zh-CN"/>
              </w:rPr>
            </w:pPr>
            <w:r>
              <w:rPr>
                <w:rFonts w:hint="eastAsia"/>
                <w:color w:val="auto"/>
                <w:kern w:val="0"/>
                <w:u w:val="single"/>
              </w:rPr>
              <w:t>开标时间：</w:t>
            </w:r>
            <w:r>
              <w:rPr>
                <w:rFonts w:hint="eastAsia" w:hAnsi="宋体" w:cs="宋体"/>
                <w:color w:val="auto"/>
                <w:u w:val="single"/>
              </w:rPr>
              <w:t>20</w:t>
            </w:r>
            <w:r>
              <w:rPr>
                <w:rFonts w:hint="eastAsia" w:hAnsi="宋体" w:cs="宋体"/>
                <w:color w:val="auto"/>
                <w:u w:val="single"/>
                <w:lang w:val="en-US" w:eastAsia="zh-CN"/>
              </w:rPr>
              <w:t>26</w:t>
            </w:r>
            <w:r>
              <w:rPr>
                <w:rFonts w:hint="eastAsia" w:hAnsi="宋体" w:cs="宋体"/>
                <w:color w:val="auto"/>
                <w:u w:val="single"/>
              </w:rPr>
              <w:t>年</w:t>
            </w:r>
            <w:r>
              <w:rPr>
                <w:rFonts w:hint="eastAsia" w:hAnsi="宋体" w:cs="宋体"/>
                <w:color w:val="auto"/>
                <w:u w:val="single"/>
                <w:lang w:val="en-US" w:eastAsia="zh-CN"/>
              </w:rPr>
              <w:t>09</w:t>
            </w:r>
            <w:r>
              <w:rPr>
                <w:rFonts w:hint="eastAsia" w:hAnsi="宋体" w:cs="宋体"/>
                <w:color w:val="auto"/>
                <w:u w:val="single"/>
              </w:rPr>
              <w:t>月</w:t>
            </w:r>
            <w:r>
              <w:rPr>
                <w:rFonts w:hint="eastAsia" w:hAnsi="宋体" w:cs="宋体"/>
                <w:color w:val="auto"/>
                <w:u w:val="single"/>
                <w:lang w:val="en-US" w:eastAsia="zh-CN"/>
              </w:rPr>
              <w:t>01</w:t>
            </w:r>
            <w:r>
              <w:rPr>
                <w:rFonts w:hint="eastAsia" w:hAnsi="宋体" w:cs="宋体"/>
                <w:color w:val="auto"/>
                <w:u w:val="single"/>
              </w:rPr>
              <w:t>日</w:t>
            </w:r>
            <w:r>
              <w:rPr>
                <w:rFonts w:hint="eastAsia" w:hAnsi="宋体" w:cs="宋体"/>
                <w:bCs/>
                <w:color w:val="auto"/>
                <w:u w:val="single"/>
                <w:lang w:val="en-US" w:eastAsia="zh-CN"/>
              </w:rPr>
              <w:t>15时00分</w:t>
            </w:r>
            <w:r>
              <w:rPr>
                <w:rFonts w:hint="eastAsia"/>
                <w:color w:val="auto"/>
                <w:szCs w:val="21"/>
              </w:rPr>
              <w:t>（北京时间）</w:t>
            </w:r>
          </w:p>
          <w:p w14:paraId="52C91590">
            <w:pPr>
              <w:pStyle w:val="10"/>
              <w:rPr>
                <w:color w:val="auto"/>
                <w:szCs w:val="21"/>
              </w:rPr>
            </w:pPr>
            <w:r>
              <w:rPr>
                <w:rFonts w:hint="eastAsia"/>
                <w:color w:val="auto"/>
              </w:rPr>
              <w:t>开标地点：供应商应按照本项目</w:t>
            </w:r>
            <w:r>
              <w:rPr>
                <w:rFonts w:hint="eastAsia" w:ascii="宋体" w:hAnsi="宋体" w:cs="宋体"/>
                <w:color w:val="auto"/>
                <w:lang w:val="en-US" w:eastAsia="zh-CN"/>
              </w:rPr>
              <w:t>采购招标</w:t>
            </w:r>
            <w:r>
              <w:rPr>
                <w:rFonts w:hint="eastAsia"/>
                <w:color w:val="auto"/>
              </w:rPr>
              <w:t>文件和"政采云"平台的要求编制、加密后在</w:t>
            </w:r>
            <w:r>
              <w:rPr>
                <w:rFonts w:hint="eastAsia" w:ascii="宋体" w:hAnsi="宋体" w:eastAsia="宋体" w:cs="宋体"/>
                <w:color w:val="auto"/>
                <w:lang w:val="en-US" w:eastAsia="zh-CN"/>
              </w:rPr>
              <w:t>投标</w:t>
            </w:r>
            <w:r>
              <w:rPr>
                <w:rFonts w:hint="eastAsia"/>
                <w:color w:val="auto"/>
              </w:rPr>
              <w:t>文件提交截止时间前上传至"政采云"平台，</w:t>
            </w:r>
            <w:r>
              <w:rPr>
                <w:rFonts w:hint="eastAsia" w:ascii="宋体" w:hAnsi="宋体" w:eastAsia="宋体" w:cs="宋体"/>
                <w:color w:val="auto"/>
                <w:lang w:val="en-US" w:eastAsia="zh-CN"/>
              </w:rPr>
              <w:t>投标</w:t>
            </w:r>
            <w:r>
              <w:rPr>
                <w:rFonts w:hint="eastAsia"/>
                <w:color w:val="auto"/>
              </w:rPr>
              <w:t>文件提交截止时间前未完成</w:t>
            </w:r>
            <w:r>
              <w:rPr>
                <w:rFonts w:hint="eastAsia" w:ascii="宋体" w:hAnsi="宋体" w:eastAsia="宋体" w:cs="宋体"/>
                <w:color w:val="auto"/>
                <w:lang w:val="en-US" w:eastAsia="zh-CN"/>
              </w:rPr>
              <w:t>投标</w:t>
            </w:r>
            <w:r>
              <w:rPr>
                <w:rFonts w:hint="eastAsia"/>
                <w:color w:val="auto"/>
              </w:rPr>
              <w:t>文件上传的，视为撤回</w:t>
            </w:r>
            <w:r>
              <w:rPr>
                <w:rFonts w:hint="eastAsia" w:ascii="宋体" w:hAnsi="宋体" w:eastAsia="宋体" w:cs="宋体"/>
                <w:color w:val="auto"/>
                <w:lang w:val="en-US" w:eastAsia="zh-CN"/>
              </w:rPr>
              <w:t>投标</w:t>
            </w:r>
            <w:r>
              <w:rPr>
                <w:rFonts w:hint="eastAsia"/>
                <w:color w:val="auto"/>
              </w:rPr>
              <w:t>文件。供应商在"政采云"平台提交电子版</w:t>
            </w:r>
            <w:r>
              <w:rPr>
                <w:rFonts w:hint="eastAsia" w:ascii="宋体" w:hAnsi="宋体" w:eastAsia="宋体" w:cs="宋体"/>
                <w:color w:val="auto"/>
                <w:lang w:val="en-US" w:eastAsia="zh-CN"/>
              </w:rPr>
              <w:t>投标</w:t>
            </w:r>
            <w:r>
              <w:rPr>
                <w:rFonts w:hint="eastAsia"/>
                <w:color w:val="auto"/>
              </w:rPr>
              <w:t>文件时，请填写参加远程采购活动经办人联系方式。</w:t>
            </w:r>
          </w:p>
        </w:tc>
      </w:tr>
      <w:tr w14:paraId="3F3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083" w:type="dxa"/>
            <w:noWrap w:val="0"/>
            <w:vAlign w:val="center"/>
          </w:tcPr>
          <w:p w14:paraId="71D6EFA0">
            <w:pPr>
              <w:jc w:val="center"/>
              <w:rPr>
                <w:rFonts w:hint="default" w:eastAsia="宋体"/>
                <w:color w:val="auto"/>
                <w:lang w:val="en-US" w:eastAsia="zh-CN"/>
              </w:rPr>
            </w:pPr>
            <w:r>
              <w:rPr>
                <w:rFonts w:hint="eastAsia"/>
                <w:color w:val="auto"/>
                <w:lang w:val="en-US" w:eastAsia="zh-CN"/>
              </w:rPr>
              <w:t>27.1</w:t>
            </w:r>
          </w:p>
        </w:tc>
        <w:tc>
          <w:tcPr>
            <w:tcW w:w="1512" w:type="dxa"/>
            <w:gridSpan w:val="2"/>
            <w:noWrap w:val="0"/>
            <w:vAlign w:val="center"/>
          </w:tcPr>
          <w:p w14:paraId="0AE38826">
            <w:pPr>
              <w:pStyle w:val="10"/>
              <w:jc w:val="center"/>
              <w:rPr>
                <w:rFonts w:hint="eastAsia" w:ascii="宋体" w:hAnsi="Courier New" w:eastAsia="宋体" w:cs="Times New Roman"/>
                <w:color w:val="auto"/>
              </w:rPr>
            </w:pPr>
            <w:r>
              <w:rPr>
                <w:rFonts w:hint="eastAsia" w:ascii="宋体" w:hAnsi="Courier New" w:eastAsia="宋体" w:cs="Times New Roman"/>
                <w:color w:val="auto"/>
                <w:lang w:val="en-US" w:eastAsia="zh-CN"/>
              </w:rPr>
              <w:t>异议</w:t>
            </w:r>
          </w:p>
        </w:tc>
        <w:tc>
          <w:tcPr>
            <w:tcW w:w="7515" w:type="dxa"/>
            <w:noWrap w:val="0"/>
            <w:vAlign w:val="center"/>
          </w:tcPr>
          <w:p w14:paraId="303400ED">
            <w:pPr>
              <w:pStyle w:val="10"/>
              <w:rPr>
                <w:rFonts w:hint="eastAsia" w:ascii="宋体" w:hAnsi="Courier New" w:eastAsia="宋体" w:cs="Times New Roman"/>
                <w:color w:val="auto"/>
                <w:lang w:eastAsia="zh-CN"/>
              </w:rPr>
            </w:pPr>
            <w:r>
              <w:rPr>
                <w:rFonts w:hint="eastAsia" w:ascii="宋体" w:hAnsi="Courier New" w:eastAsia="宋体" w:cs="Times New Roman"/>
                <w:color w:val="auto"/>
              </w:rPr>
              <w:t>开标过程中如有问题，可以在</w:t>
            </w:r>
            <w:r>
              <w:rPr>
                <w:rFonts w:hint="eastAsia" w:ascii="宋体" w:hAnsi="Courier New" w:eastAsia="宋体" w:cs="Times New Roman"/>
                <w:color w:val="auto"/>
                <w:lang w:val="en-US" w:eastAsia="zh-CN"/>
              </w:rPr>
              <w:t>系统限定时间之内</w:t>
            </w:r>
            <w:r>
              <w:rPr>
                <w:rFonts w:hint="eastAsia" w:ascii="宋体" w:hAnsi="Courier New" w:eastAsia="宋体" w:cs="Times New Roman"/>
                <w:color w:val="auto"/>
              </w:rPr>
              <w:t>提出异议，由代理机构给予对应的回复</w:t>
            </w:r>
            <w:r>
              <w:rPr>
                <w:rFonts w:hint="eastAsia" w:ascii="宋体" w:hAnsi="Courier New" w:eastAsia="宋体" w:cs="Times New Roman"/>
                <w:color w:val="auto"/>
                <w:lang w:eastAsia="zh-CN"/>
              </w:rPr>
              <w:t>，</w:t>
            </w:r>
            <w:r>
              <w:rPr>
                <w:rFonts w:hint="eastAsia" w:ascii="宋体" w:hAnsi="Courier New" w:eastAsia="宋体" w:cs="Times New Roman"/>
                <w:color w:val="auto"/>
              </w:rPr>
              <w:t>在规定的统一提出异议时间内不提出异议的，则视为对开标结果无异议</w:t>
            </w:r>
            <w:r>
              <w:rPr>
                <w:rFonts w:hint="eastAsia" w:ascii="宋体" w:hAnsi="Courier New" w:eastAsia="宋体" w:cs="Times New Roman"/>
                <w:color w:val="auto"/>
                <w:lang w:eastAsia="zh-CN"/>
              </w:rPr>
              <w:t>。</w:t>
            </w:r>
          </w:p>
        </w:tc>
      </w:tr>
      <w:tr w14:paraId="770D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1083" w:type="dxa"/>
            <w:noWrap w:val="0"/>
            <w:vAlign w:val="center"/>
          </w:tcPr>
          <w:p w14:paraId="7C9667AD">
            <w:pPr>
              <w:jc w:val="center"/>
              <w:rPr>
                <w:rFonts w:hint="default" w:eastAsia="宋体"/>
                <w:color w:val="auto"/>
                <w:lang w:val="en-US" w:eastAsia="zh-CN"/>
              </w:rPr>
            </w:pPr>
            <w:r>
              <w:rPr>
                <w:rFonts w:hint="eastAsia"/>
                <w:color w:val="auto"/>
                <w:lang w:val="en-US" w:eastAsia="zh-CN"/>
              </w:rPr>
              <w:t>28.1</w:t>
            </w:r>
          </w:p>
        </w:tc>
        <w:tc>
          <w:tcPr>
            <w:tcW w:w="1512" w:type="dxa"/>
            <w:gridSpan w:val="2"/>
            <w:noWrap w:val="0"/>
            <w:vAlign w:val="center"/>
          </w:tcPr>
          <w:p w14:paraId="18D2F783">
            <w:pPr>
              <w:jc w:val="center"/>
              <w:rPr>
                <w:color w:val="auto"/>
              </w:rPr>
            </w:pPr>
            <w:r>
              <w:rPr>
                <w:rFonts w:hint="eastAsia"/>
                <w:color w:val="auto"/>
                <w:lang w:val="en-US" w:eastAsia="zh-CN"/>
              </w:rPr>
              <w:t>评审</w:t>
            </w:r>
            <w:r>
              <w:rPr>
                <w:rFonts w:hint="eastAsia"/>
                <w:color w:val="auto"/>
              </w:rPr>
              <w:t>小组的组建</w:t>
            </w:r>
          </w:p>
        </w:tc>
        <w:tc>
          <w:tcPr>
            <w:tcW w:w="7515" w:type="dxa"/>
            <w:noWrap w:val="0"/>
            <w:vAlign w:val="center"/>
          </w:tcPr>
          <w:p w14:paraId="0E6F9CB8">
            <w:pPr>
              <w:rPr>
                <w:rFonts w:hint="eastAsia" w:ascii="Times New Roman" w:hAnsi="Times New Roman" w:eastAsia="宋体" w:cs="Times New Roman"/>
                <w:color w:val="auto"/>
              </w:rPr>
            </w:pPr>
            <w:r>
              <w:rPr>
                <w:rFonts w:hint="eastAsia"/>
                <w:color w:val="auto"/>
                <w:lang w:val="en-US" w:eastAsia="zh-CN"/>
              </w:rPr>
              <w:t>评审</w:t>
            </w:r>
            <w:r>
              <w:rPr>
                <w:rFonts w:hint="eastAsia"/>
                <w:color w:val="auto"/>
              </w:rPr>
              <w:t>小组构成：由采购人代表和评审专家共</w:t>
            </w:r>
            <w:r>
              <w:rPr>
                <w:rFonts w:hint="eastAsia"/>
                <w:color w:val="auto"/>
                <w:lang w:val="en-US" w:eastAsia="zh-CN"/>
              </w:rPr>
              <w:t>5</w:t>
            </w:r>
            <w:r>
              <w:rPr>
                <w:rFonts w:hint="eastAsia"/>
                <w:color w:val="auto"/>
              </w:rPr>
              <w:t>人以上单数组成，其中评审专家人数不得少于</w:t>
            </w:r>
            <w:r>
              <w:rPr>
                <w:rFonts w:hint="eastAsia" w:ascii="Times New Roman" w:hAnsi="Times New Roman" w:eastAsia="宋体" w:cs="Times New Roman"/>
                <w:color w:val="auto"/>
                <w:lang w:val="en-US" w:eastAsia="zh-CN"/>
              </w:rPr>
              <w:t>评审</w:t>
            </w:r>
            <w:r>
              <w:rPr>
                <w:rFonts w:hint="eastAsia" w:ascii="Times New Roman" w:hAnsi="Times New Roman" w:eastAsia="宋体" w:cs="Times New Roman"/>
                <w:color w:val="auto"/>
              </w:rPr>
              <w:t>小组成员总数的2/3；</w:t>
            </w:r>
          </w:p>
          <w:p w14:paraId="66BB409B">
            <w:pPr>
              <w:rPr>
                <w:color w:val="auto"/>
              </w:rPr>
            </w:pPr>
            <w:r>
              <w:rPr>
                <w:rFonts w:hint="eastAsia" w:ascii="Times New Roman" w:hAnsi="Times New Roman" w:eastAsia="宋体" w:cs="Times New Roman"/>
                <w:color w:val="auto"/>
              </w:rPr>
              <w:t>评标专家确定方式：评标专家的抽取将按照《</w:t>
            </w:r>
            <w:r>
              <w:rPr>
                <w:rFonts w:hint="eastAsia" w:ascii="Times New Roman" w:hAnsi="Times New Roman" w:eastAsia="宋体" w:cs="Times New Roman"/>
                <w:color w:val="auto"/>
                <w:lang w:val="en-US" w:eastAsia="zh-CN"/>
              </w:rPr>
              <w:t>云财规</w:t>
            </w:r>
            <w:r>
              <w:rPr>
                <w:rFonts w:hint="eastAsia" w:ascii="Times New Roman" w:hAnsi="Times New Roman" w:eastAsia="宋体" w:cs="Times New Roman"/>
                <w:color w:val="auto"/>
              </w:rPr>
              <w:t>〔202</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〕2</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号》</w:t>
            </w:r>
            <w:r>
              <w:rPr>
                <w:rFonts w:hint="eastAsia" w:ascii="Times New Roman" w:hAnsi="Times New Roman" w:eastAsia="宋体" w:cs="Times New Roman"/>
                <w:color w:val="auto"/>
                <w:lang w:eastAsia="zh-CN"/>
              </w:rPr>
              <w:t>云南省财政厅关于印发《云南省政府采购评审专家管理办法》的通知</w:t>
            </w:r>
            <w:r>
              <w:rPr>
                <w:rFonts w:hint="eastAsia" w:ascii="Times New Roman" w:hAnsi="Times New Roman" w:eastAsia="宋体" w:cs="Times New Roman"/>
                <w:color w:val="auto"/>
              </w:rPr>
              <w:t>执行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通过随机方式难以确定合适的评审专家</w:t>
            </w:r>
            <w:r>
              <w:rPr>
                <w:rFonts w:hint="eastAsia"/>
                <w:color w:val="auto"/>
              </w:rPr>
              <w:t>的项目，经主管预算单位同意，可以自行选定评审专家。技术复杂、专业性强的采购项目，评审专家中应当包含1名法律专家。</w:t>
            </w:r>
          </w:p>
        </w:tc>
      </w:tr>
      <w:tr w14:paraId="7E9E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83" w:type="dxa"/>
            <w:noWrap w:val="0"/>
            <w:vAlign w:val="center"/>
          </w:tcPr>
          <w:p w14:paraId="4D41F558">
            <w:pPr>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29.1</w:t>
            </w:r>
          </w:p>
        </w:tc>
        <w:tc>
          <w:tcPr>
            <w:tcW w:w="1512" w:type="dxa"/>
            <w:gridSpan w:val="2"/>
            <w:noWrap w:val="0"/>
            <w:vAlign w:val="center"/>
          </w:tcPr>
          <w:p w14:paraId="7F9FEE7C">
            <w:pPr>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评标办法</w:t>
            </w:r>
          </w:p>
        </w:tc>
        <w:tc>
          <w:tcPr>
            <w:tcW w:w="7515" w:type="dxa"/>
            <w:noWrap w:val="0"/>
            <w:vAlign w:val="center"/>
          </w:tcPr>
          <w:p w14:paraId="4B38EF2F">
            <w:pPr>
              <w:rPr>
                <w:rFonts w:hint="eastAsia" w:ascii="Times New Roman" w:hAnsi="Times New Roman" w:eastAsia="宋体" w:cs="Times New Roman"/>
                <w:color w:val="auto"/>
              </w:rPr>
            </w:pPr>
            <w:r>
              <w:rPr>
                <w:rFonts w:hint="eastAsia" w:ascii="Times New Roman" w:hAnsi="Times New Roman" w:eastAsia="宋体" w:cs="Times New Roman"/>
                <w:color w:val="auto"/>
              </w:rPr>
              <w:t>综合评分法</w:t>
            </w:r>
          </w:p>
        </w:tc>
      </w:tr>
      <w:tr w14:paraId="4A1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83" w:type="dxa"/>
            <w:noWrap w:val="0"/>
            <w:vAlign w:val="center"/>
          </w:tcPr>
          <w:p w14:paraId="16941494">
            <w:pPr>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30.1</w:t>
            </w:r>
          </w:p>
        </w:tc>
        <w:tc>
          <w:tcPr>
            <w:tcW w:w="1512" w:type="dxa"/>
            <w:gridSpan w:val="2"/>
            <w:noWrap w:val="0"/>
            <w:vAlign w:val="center"/>
          </w:tcPr>
          <w:p w14:paraId="5675A2BB">
            <w:pPr>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低于成本价不正当竞争预防措施</w:t>
            </w:r>
          </w:p>
        </w:tc>
        <w:tc>
          <w:tcPr>
            <w:tcW w:w="7515" w:type="dxa"/>
            <w:noWrap w:val="0"/>
            <w:vAlign w:val="center"/>
          </w:tcPr>
          <w:p w14:paraId="257E59E4">
            <w:pPr>
              <w:rPr>
                <w:rFonts w:hint="eastAsia" w:ascii="Times New Roman" w:hAnsi="Times New Roman" w:eastAsia="宋体" w:cs="Times New Roman"/>
                <w:color w:val="auto"/>
              </w:rPr>
            </w:pPr>
            <w:r>
              <w:rPr>
                <w:rFonts w:hint="eastAsia" w:ascii="Times New Roman" w:hAnsi="Times New Roman" w:eastAsia="宋体" w:cs="Times New Roman"/>
                <w:color w:val="auto"/>
              </w:rPr>
              <w:t>在评审过程中评标委员会认为</w:t>
            </w:r>
            <w:r>
              <w:rPr>
                <w:rFonts w:hint="eastAsia" w:ascii="Times New Roman" w:hAnsi="Times New Roman" w:eastAsia="宋体" w:cs="Times New Roman"/>
                <w:color w:val="auto"/>
                <w:lang w:eastAsia="zh-CN"/>
              </w:rPr>
              <w:t>投标人</w:t>
            </w:r>
            <w:r>
              <w:rPr>
                <w:rFonts w:hint="eastAsia" w:ascii="Times New Roman" w:hAnsi="Times New Roman" w:eastAsia="宋体" w:cs="Times New Roman"/>
                <w:color w:val="auto"/>
              </w:rPr>
              <w:t>的报价明显低于其他通过符合性审</w:t>
            </w:r>
            <w:r>
              <w:rPr>
                <w:rFonts w:hint="eastAsia" w:ascii="Times New Roman" w:hAnsi="Times New Roman" w:eastAsia="宋体" w:cs="Times New Roman"/>
                <w:color w:val="auto"/>
                <w:lang w:eastAsia="zh-CN"/>
              </w:rPr>
              <w:t>查的投标人</w:t>
            </w:r>
            <w:r>
              <w:rPr>
                <w:rFonts w:hint="eastAsia" w:ascii="Times New Roman" w:hAnsi="Times New Roman" w:eastAsia="宋体" w:cs="Times New Roman"/>
                <w:color w:val="auto"/>
              </w:rPr>
              <w:t>的报价，有可能影响服务质量或者不能诚信履约的，应当要求其在评审现场合理的时间内提供书面说明，必要时提交相关证明材料；</w:t>
            </w:r>
            <w:r>
              <w:rPr>
                <w:rFonts w:hint="eastAsia" w:ascii="Times New Roman" w:hAnsi="Times New Roman" w:eastAsia="宋体" w:cs="Times New Roman"/>
                <w:color w:val="auto"/>
                <w:lang w:eastAsia="zh-CN"/>
              </w:rPr>
              <w:t>投标人</w:t>
            </w:r>
            <w:r>
              <w:rPr>
                <w:rFonts w:hint="eastAsia" w:ascii="Times New Roman" w:hAnsi="Times New Roman" w:eastAsia="宋体" w:cs="Times New Roman"/>
                <w:color w:val="auto"/>
              </w:rPr>
              <w:t>不能证明其报价合理性的，评标委员会应当将其作为无效投标处理。</w:t>
            </w:r>
            <w:r>
              <w:rPr>
                <w:rFonts w:hint="eastAsia" w:ascii="Times New Roman" w:hAnsi="Times New Roman" w:eastAsia="宋体" w:cs="Times New Roman"/>
                <w:color w:val="auto"/>
                <w:lang w:eastAsia="zh-CN"/>
              </w:rPr>
              <w:t>投标人</w:t>
            </w:r>
            <w:r>
              <w:rPr>
                <w:rFonts w:hint="eastAsia" w:ascii="Times New Roman" w:hAnsi="Times New Roman" w:eastAsia="宋体" w:cs="Times New Roman"/>
                <w:color w:val="auto"/>
              </w:rPr>
              <w:t>的书面说明材料应当按照国家财务会计制度的规定要求，逐项就</w:t>
            </w:r>
            <w:r>
              <w:rPr>
                <w:rFonts w:hint="eastAsia" w:ascii="Times New Roman" w:hAnsi="Times New Roman" w:eastAsia="宋体" w:cs="Times New Roman"/>
                <w:color w:val="auto"/>
                <w:lang w:eastAsia="zh-CN"/>
              </w:rPr>
              <w:t>投标人</w:t>
            </w:r>
            <w:r>
              <w:rPr>
                <w:rFonts w:hint="eastAsia" w:ascii="Times New Roman" w:hAnsi="Times New Roman" w:eastAsia="宋体" w:cs="Times New Roman"/>
                <w:color w:val="auto"/>
              </w:rPr>
              <w:t>提供的服务的主营业务成本、税金及附加、销售费用、管理费用、财务费用等成本构成事项详细陈述</w:t>
            </w:r>
            <w:r>
              <w:rPr>
                <w:rFonts w:hint="eastAsia" w:ascii="Times New Roman" w:hAnsi="Times New Roman" w:eastAsia="宋体" w:cs="Times New Roman"/>
                <w:color w:val="auto"/>
                <w:lang w:eastAsia="zh-CN"/>
              </w:rPr>
              <w:t>。</w:t>
            </w:r>
          </w:p>
        </w:tc>
      </w:tr>
      <w:tr w14:paraId="0A47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83" w:type="dxa"/>
            <w:noWrap w:val="0"/>
            <w:vAlign w:val="center"/>
          </w:tcPr>
          <w:p w14:paraId="5B590D8E">
            <w:pPr>
              <w:jc w:val="center"/>
              <w:rPr>
                <w:rFonts w:hint="default" w:eastAsia="宋体"/>
                <w:color w:val="auto"/>
                <w:lang w:val="en-US" w:eastAsia="zh-CN"/>
              </w:rPr>
            </w:pPr>
            <w:r>
              <w:rPr>
                <w:rFonts w:hint="eastAsia"/>
                <w:color w:val="auto"/>
                <w:lang w:val="en-US" w:eastAsia="zh-CN"/>
              </w:rPr>
              <w:t>31.1</w:t>
            </w:r>
          </w:p>
        </w:tc>
        <w:tc>
          <w:tcPr>
            <w:tcW w:w="1512" w:type="dxa"/>
            <w:gridSpan w:val="2"/>
            <w:noWrap w:val="0"/>
            <w:vAlign w:val="center"/>
          </w:tcPr>
          <w:p w14:paraId="083B50AF">
            <w:pPr>
              <w:jc w:val="center"/>
              <w:rPr>
                <w:color w:val="auto"/>
              </w:rPr>
            </w:pPr>
            <w:r>
              <w:rPr>
                <w:rFonts w:hint="eastAsia"/>
                <w:color w:val="auto"/>
              </w:rPr>
              <w:t>是否授权</w:t>
            </w:r>
            <w:r>
              <w:rPr>
                <w:rFonts w:hint="eastAsia"/>
                <w:color w:val="auto"/>
                <w:lang w:val="en-US" w:eastAsia="zh-CN"/>
              </w:rPr>
              <w:t>评审</w:t>
            </w:r>
            <w:r>
              <w:rPr>
                <w:rFonts w:hint="eastAsia"/>
                <w:color w:val="auto"/>
              </w:rPr>
              <w:t>小组确定</w:t>
            </w:r>
            <w:r>
              <w:rPr>
                <w:rFonts w:hint="eastAsia"/>
                <w:color w:val="auto"/>
                <w:lang w:eastAsia="zh-CN"/>
              </w:rPr>
              <w:t>中标</w:t>
            </w:r>
            <w:r>
              <w:rPr>
                <w:rFonts w:hint="eastAsia"/>
                <w:color w:val="auto"/>
              </w:rPr>
              <w:t>供应商</w:t>
            </w:r>
          </w:p>
        </w:tc>
        <w:tc>
          <w:tcPr>
            <w:tcW w:w="7515" w:type="dxa"/>
            <w:noWrap w:val="0"/>
            <w:vAlign w:val="center"/>
          </w:tcPr>
          <w:p w14:paraId="69594D79">
            <w:pPr>
              <w:rPr>
                <w:color w:val="auto"/>
              </w:rPr>
            </w:pPr>
            <w:r>
              <w:rPr>
                <w:rFonts w:hint="eastAsia"/>
                <w:color w:val="auto"/>
              </w:rPr>
              <w:t>□是</w:t>
            </w:r>
          </w:p>
          <w:p w14:paraId="16709A13">
            <w:pPr>
              <w:rPr>
                <w:color w:val="auto"/>
              </w:rPr>
            </w:pPr>
            <w:r>
              <w:rPr>
                <w:rFonts w:hint="eastAsia" w:ascii="宋体" w:hAnsi="宋体" w:cs="宋体"/>
                <w:color w:val="auto"/>
              </w:rPr>
              <w:t>■</w:t>
            </w:r>
            <w:r>
              <w:rPr>
                <w:rFonts w:hint="eastAsia"/>
                <w:color w:val="auto"/>
              </w:rPr>
              <w:t>否，推荐的</w:t>
            </w:r>
            <w:r>
              <w:rPr>
                <w:rFonts w:hint="eastAsia"/>
                <w:color w:val="auto"/>
                <w:lang w:eastAsia="zh-CN"/>
              </w:rPr>
              <w:t>中标</w:t>
            </w:r>
            <w:r>
              <w:rPr>
                <w:rFonts w:hint="eastAsia"/>
                <w:color w:val="auto"/>
              </w:rPr>
              <w:t>候选人数：</w:t>
            </w:r>
            <w:r>
              <w:rPr>
                <w:rFonts w:hint="eastAsia"/>
                <w:color w:val="auto"/>
                <w:u w:val="single"/>
              </w:rPr>
              <w:t>3人</w:t>
            </w:r>
          </w:p>
        </w:tc>
      </w:tr>
      <w:tr w14:paraId="72B8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83" w:type="dxa"/>
            <w:noWrap w:val="0"/>
            <w:vAlign w:val="center"/>
          </w:tcPr>
          <w:p w14:paraId="4A81BBF1">
            <w:pPr>
              <w:jc w:val="center"/>
              <w:rPr>
                <w:rFonts w:hint="default" w:eastAsia="宋体"/>
                <w:color w:val="auto"/>
                <w:lang w:val="en-US" w:eastAsia="zh-CN"/>
              </w:rPr>
            </w:pPr>
            <w:r>
              <w:rPr>
                <w:rFonts w:hint="eastAsia"/>
                <w:color w:val="auto"/>
                <w:lang w:val="en-US" w:eastAsia="zh-CN"/>
              </w:rPr>
              <w:t>32.1</w:t>
            </w:r>
          </w:p>
        </w:tc>
        <w:tc>
          <w:tcPr>
            <w:tcW w:w="1512" w:type="dxa"/>
            <w:gridSpan w:val="2"/>
            <w:noWrap w:val="0"/>
            <w:vAlign w:val="center"/>
          </w:tcPr>
          <w:p w14:paraId="152DE6B2">
            <w:pPr>
              <w:jc w:val="center"/>
              <w:rPr>
                <w:color w:val="auto"/>
              </w:rPr>
            </w:pPr>
            <w:r>
              <w:rPr>
                <w:rFonts w:hint="eastAsia"/>
                <w:color w:val="auto"/>
              </w:rPr>
              <w:t>履约担保</w:t>
            </w:r>
          </w:p>
        </w:tc>
        <w:tc>
          <w:tcPr>
            <w:tcW w:w="7515" w:type="dxa"/>
            <w:noWrap w:val="0"/>
            <w:vAlign w:val="center"/>
          </w:tcPr>
          <w:p w14:paraId="2C4A19D8">
            <w:pPr>
              <w:rPr>
                <w:color w:val="auto"/>
              </w:rPr>
            </w:pPr>
            <w:r>
              <w:rPr>
                <w:rFonts w:hint="eastAsia" w:ascii="Times New Roman" w:hAnsi="Times New Roman" w:eastAsia="宋体" w:cs="Times New Roman"/>
                <w:color w:val="auto"/>
                <w:lang w:val="en-US" w:eastAsia="zh-CN"/>
              </w:rPr>
              <w:t>落实云南省财政厅关于进一步规范政府采购相关收费行为的通知（云财规〔2023〕13号）文件的要求，本项目免收履约保证金。</w:t>
            </w:r>
          </w:p>
        </w:tc>
      </w:tr>
      <w:tr w14:paraId="4816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83" w:type="dxa"/>
            <w:noWrap w:val="0"/>
            <w:vAlign w:val="center"/>
          </w:tcPr>
          <w:p w14:paraId="5843E329">
            <w:pPr>
              <w:jc w:val="center"/>
              <w:rPr>
                <w:color w:val="auto"/>
              </w:rPr>
            </w:pPr>
          </w:p>
        </w:tc>
        <w:tc>
          <w:tcPr>
            <w:tcW w:w="1512" w:type="dxa"/>
            <w:gridSpan w:val="2"/>
            <w:noWrap w:val="0"/>
            <w:vAlign w:val="center"/>
          </w:tcPr>
          <w:p w14:paraId="1A226688">
            <w:pPr>
              <w:jc w:val="center"/>
              <w:rPr>
                <w:b/>
                <w:bCs/>
                <w:color w:val="auto"/>
              </w:rPr>
            </w:pPr>
            <w:r>
              <w:rPr>
                <w:rFonts w:hint="eastAsia"/>
                <w:b/>
                <w:bCs/>
                <w:color w:val="auto"/>
              </w:rPr>
              <w:t>本项目所属行业</w:t>
            </w:r>
          </w:p>
        </w:tc>
        <w:tc>
          <w:tcPr>
            <w:tcW w:w="7515" w:type="dxa"/>
            <w:noWrap w:val="0"/>
            <w:vAlign w:val="center"/>
          </w:tcPr>
          <w:p w14:paraId="76ADA655">
            <w:pPr>
              <w:jc w:val="both"/>
              <w:rPr>
                <w:b/>
                <w:bCs/>
                <w:color w:val="auto"/>
              </w:rPr>
            </w:pPr>
            <w:r>
              <w:rPr>
                <w:rFonts w:hint="eastAsia" w:ascii="Times New Roman" w:hAnsi="Times New Roman" w:eastAsia="宋体" w:cs="Times New Roman"/>
                <w:b/>
                <w:bCs/>
                <w:color w:val="auto"/>
                <w:lang w:val="en-US" w:eastAsia="zh-CN"/>
              </w:rPr>
              <w:t>工业</w:t>
            </w:r>
            <w:r>
              <w:rPr>
                <w:rFonts w:hint="eastAsia" w:ascii="Times New Roman" w:hAnsi="Times New Roman" w:eastAsia="宋体" w:cs="Times New Roman"/>
                <w:b/>
                <w:bCs/>
                <w:color w:val="auto"/>
                <w:lang w:eastAsia="zh-CN"/>
              </w:rPr>
              <w:t>。</w:t>
            </w:r>
          </w:p>
        </w:tc>
      </w:tr>
      <w:tr w14:paraId="2233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83" w:type="dxa"/>
            <w:noWrap w:val="0"/>
            <w:vAlign w:val="center"/>
          </w:tcPr>
          <w:p w14:paraId="4BD8C3F3">
            <w:pPr>
              <w:jc w:val="center"/>
              <w:rPr>
                <w:color w:val="auto"/>
              </w:rPr>
            </w:pPr>
          </w:p>
        </w:tc>
        <w:tc>
          <w:tcPr>
            <w:tcW w:w="1512" w:type="dxa"/>
            <w:gridSpan w:val="2"/>
            <w:noWrap w:val="0"/>
            <w:vAlign w:val="center"/>
          </w:tcPr>
          <w:p w14:paraId="39BA74E8">
            <w:pPr>
              <w:jc w:val="center"/>
              <w:rPr>
                <w:color w:val="auto"/>
              </w:rPr>
            </w:pPr>
            <w:r>
              <w:rPr>
                <w:rFonts w:hint="eastAsia"/>
                <w:color w:val="auto"/>
              </w:rPr>
              <w:t>中标服务费</w:t>
            </w:r>
          </w:p>
        </w:tc>
        <w:tc>
          <w:tcPr>
            <w:tcW w:w="7515" w:type="dxa"/>
            <w:noWrap w:val="0"/>
            <w:vAlign w:val="center"/>
          </w:tcPr>
          <w:p w14:paraId="61DC2770">
            <w:pP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（1）</w:t>
            </w:r>
            <w:r>
              <w:rPr>
                <w:rFonts w:hint="eastAsia" w:cs="Times New Roman"/>
                <w:color w:val="auto"/>
                <w:lang w:val="en-US" w:eastAsia="zh-CN"/>
              </w:rPr>
              <w:t>采购招标</w:t>
            </w:r>
            <w:r>
              <w:rPr>
                <w:rFonts w:hint="eastAsia" w:ascii="Times New Roman" w:hAnsi="Times New Roman" w:eastAsia="宋体" w:cs="Times New Roman"/>
                <w:color w:val="auto"/>
                <w:lang w:eastAsia="zh-CN"/>
              </w:rPr>
              <w:t>代理服务费按照《关于印发&lt;云南省建设工程招标代理服务收费参考意见&gt;的通知》（云建招协〔2024〕58号）按差额累进法计算，计算后按</w:t>
            </w:r>
            <w:r>
              <w:rPr>
                <w:rFonts w:hint="eastAsia" w:ascii="Times New Roman" w:hAnsi="Times New Roman" w:eastAsia="宋体" w:cs="Times New Roman"/>
                <w:color w:val="auto"/>
                <w:lang w:val="en-US" w:eastAsia="zh-CN"/>
              </w:rPr>
              <w:t>50.25</w:t>
            </w:r>
            <w:r>
              <w:rPr>
                <w:rFonts w:hint="eastAsia" w:ascii="Times New Roman" w:hAnsi="Times New Roman" w:eastAsia="宋体" w:cs="Times New Roman"/>
                <w:color w:val="auto"/>
                <w:lang w:eastAsia="zh-CN"/>
              </w:rPr>
              <w:t>%（大写：</w:t>
            </w:r>
            <w:r>
              <w:rPr>
                <w:rFonts w:hint="eastAsia" w:ascii="Times New Roman" w:hAnsi="Times New Roman" w:eastAsia="宋体" w:cs="Times New Roman"/>
                <w:color w:val="auto"/>
                <w:lang w:val="en-US" w:eastAsia="zh-CN"/>
              </w:rPr>
              <w:t>百分之伍拾点贰伍</w:t>
            </w:r>
            <w:r>
              <w:rPr>
                <w:rFonts w:hint="eastAsia" w:ascii="Times New Roman" w:hAnsi="Times New Roman" w:eastAsia="宋体" w:cs="Times New Roman"/>
                <w:color w:val="auto"/>
                <w:lang w:eastAsia="zh-CN"/>
              </w:rPr>
              <w:t>）收取，</w:t>
            </w:r>
            <w:r>
              <w:rPr>
                <w:rFonts w:hint="eastAsia" w:ascii="Times New Roman" w:hAnsi="Times New Roman" w:eastAsia="宋体" w:cs="Times New Roman"/>
                <w:color w:val="auto"/>
                <w:lang w:val="en-US" w:eastAsia="zh-CN"/>
              </w:rPr>
              <w:t>按上述计算后不足4025.00</w:t>
            </w:r>
            <w:r>
              <w:rPr>
                <w:rFonts w:hint="eastAsia" w:ascii="Times New Roman" w:hAnsi="Times New Roman" w:eastAsia="宋体" w:cs="Times New Roman"/>
                <w:color w:val="auto"/>
                <w:lang w:eastAsia="zh-CN"/>
              </w:rPr>
              <w:t>元的</w:t>
            </w:r>
            <w:r>
              <w:rPr>
                <w:rFonts w:hint="eastAsia" w:ascii="Times New Roman" w:hAnsi="Times New Roman" w:eastAsia="宋体" w:cs="Times New Roman"/>
                <w:color w:val="auto"/>
                <w:lang w:val="en-US" w:eastAsia="zh-CN"/>
              </w:rPr>
              <w:t>按4025.00元</w:t>
            </w:r>
            <w:r>
              <w:rPr>
                <w:rFonts w:hint="eastAsia" w:ascii="Times New Roman" w:hAnsi="Times New Roman" w:eastAsia="宋体" w:cs="Times New Roman"/>
                <w:color w:val="auto"/>
                <w:lang w:eastAsia="zh-CN"/>
              </w:rPr>
              <w:t>计收。</w:t>
            </w:r>
          </w:p>
          <w:p w14:paraId="384F8ACD">
            <w:pP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（2）</w:t>
            </w:r>
            <w:r>
              <w:rPr>
                <w:rFonts w:hint="eastAsia" w:cs="Times New Roman"/>
                <w:color w:val="auto"/>
                <w:lang w:val="en-US" w:eastAsia="zh-CN"/>
              </w:rPr>
              <w:t>采购招标</w:t>
            </w:r>
            <w:r>
              <w:rPr>
                <w:rFonts w:hint="eastAsia" w:ascii="Times New Roman" w:hAnsi="Times New Roman" w:eastAsia="宋体" w:cs="Times New Roman"/>
                <w:color w:val="auto"/>
                <w:lang w:eastAsia="zh-CN"/>
              </w:rPr>
              <w:t>代理服务费</w:t>
            </w:r>
            <w:r>
              <w:rPr>
                <w:rFonts w:hint="eastAsia" w:ascii="Times New Roman" w:hAnsi="Times New Roman" w:eastAsia="宋体" w:cs="Times New Roman"/>
                <w:color w:val="auto"/>
              </w:rPr>
              <w:t>由中</w:t>
            </w:r>
            <w:r>
              <w:rPr>
                <w:rFonts w:hint="eastAsia" w:ascii="Times New Roman" w:hAnsi="Times New Roman" w:eastAsia="宋体" w:cs="Times New Roman"/>
                <w:color w:val="auto"/>
                <w:lang w:eastAsia="zh-CN"/>
              </w:rPr>
              <w:t>标人领取中标通知书前一次性支付给</w:t>
            </w:r>
            <w:r>
              <w:rPr>
                <w:rFonts w:hint="eastAsia" w:ascii="Times New Roman" w:hAnsi="Times New Roman" w:eastAsia="宋体" w:cs="Times New Roman"/>
                <w:color w:val="auto"/>
                <w:lang w:val="en-US" w:eastAsia="zh-CN"/>
              </w:rPr>
              <w:t>采购</w:t>
            </w:r>
            <w:r>
              <w:rPr>
                <w:rFonts w:hint="eastAsia" w:ascii="Times New Roman" w:hAnsi="Times New Roman" w:eastAsia="宋体" w:cs="Times New Roman"/>
                <w:color w:val="auto"/>
                <w:lang w:eastAsia="zh-CN"/>
              </w:rPr>
              <w:t>代理机构。</w:t>
            </w:r>
          </w:p>
          <w:p w14:paraId="42B5DBDF">
            <w:pP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开户名称：云南荣腾工程管理咨询有限公司</w:t>
            </w:r>
          </w:p>
          <w:p w14:paraId="504EA4D8">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开户银行：</w:t>
            </w:r>
            <w:r>
              <w:rPr>
                <w:rFonts w:hint="eastAsia" w:ascii="Times New Roman" w:hAnsi="Times New Roman" w:eastAsia="宋体" w:cs="Times New Roman"/>
                <w:color w:val="auto"/>
                <w:lang w:val="en-US" w:eastAsia="zh-CN"/>
              </w:rPr>
              <w:t>中国建设银行股份有限公司曲靖玄坛支公司</w:t>
            </w:r>
          </w:p>
          <w:p w14:paraId="0BAD1D7E">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缴纳账户账号：</w:t>
            </w:r>
            <w:r>
              <w:rPr>
                <w:rFonts w:hint="eastAsia" w:ascii="Times New Roman" w:hAnsi="Times New Roman" w:eastAsia="宋体" w:cs="Times New Roman"/>
                <w:color w:val="auto"/>
                <w:lang w:val="en-US" w:eastAsia="zh-CN"/>
              </w:rPr>
              <w:t>53050164613800000500</w:t>
            </w:r>
          </w:p>
          <w:p w14:paraId="03C84644">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联系电话：</w:t>
            </w:r>
            <w:r>
              <w:rPr>
                <w:rFonts w:hint="eastAsia" w:ascii="Times New Roman" w:hAnsi="Times New Roman" w:eastAsia="宋体" w:cs="Times New Roman"/>
                <w:color w:val="auto"/>
                <w:lang w:val="en-US" w:eastAsia="zh-CN"/>
              </w:rPr>
              <w:t>18687442145</w:t>
            </w:r>
          </w:p>
        </w:tc>
      </w:tr>
      <w:tr w14:paraId="39C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0" w:type="dxa"/>
            <w:gridSpan w:val="4"/>
            <w:noWrap w:val="0"/>
            <w:vAlign w:val="center"/>
          </w:tcPr>
          <w:p w14:paraId="4382B135">
            <w:pPr>
              <w:spacing w:line="312" w:lineRule="auto"/>
              <w:rPr>
                <w:rFonts w:ascii="黑体" w:eastAsia="黑体"/>
                <w:color w:val="auto"/>
                <w:sz w:val="24"/>
              </w:rPr>
            </w:pPr>
            <w:r>
              <w:rPr>
                <w:rFonts w:hint="eastAsia" w:ascii="黑体" w:eastAsia="黑体"/>
                <w:color w:val="auto"/>
                <w:sz w:val="24"/>
                <w:lang w:val="en-US" w:eastAsia="zh-CN"/>
              </w:rPr>
              <w:t>33</w:t>
            </w:r>
            <w:r>
              <w:rPr>
                <w:rFonts w:hint="eastAsia" w:ascii="黑体" w:eastAsia="黑体"/>
                <w:color w:val="auto"/>
                <w:sz w:val="24"/>
              </w:rPr>
              <w:t>.</w:t>
            </w:r>
            <w:r>
              <w:rPr>
                <w:rFonts w:hint="eastAsia" w:ascii="黑体" w:eastAsia="黑体"/>
                <w:color w:val="auto"/>
                <w:sz w:val="24"/>
                <w:lang w:val="en-US" w:eastAsia="zh-CN"/>
              </w:rPr>
              <w:t>1</w:t>
            </w:r>
            <w:r>
              <w:rPr>
                <w:rFonts w:hint="eastAsia" w:ascii="黑体" w:eastAsia="黑体"/>
                <w:color w:val="auto"/>
                <w:sz w:val="24"/>
              </w:rPr>
              <w:t>需要补充的其他内容</w:t>
            </w:r>
          </w:p>
        </w:tc>
      </w:tr>
      <w:tr w14:paraId="307D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0110" w:type="dxa"/>
            <w:gridSpan w:val="4"/>
            <w:noWrap w:val="0"/>
            <w:vAlign w:val="center"/>
          </w:tcPr>
          <w:p w14:paraId="50DB3A7C">
            <w:pPr>
              <w:spacing w:line="312" w:lineRule="auto"/>
              <w:rPr>
                <w:color w:val="auto"/>
              </w:rPr>
            </w:pPr>
            <w:r>
              <w:rPr>
                <w:rFonts w:hint="eastAsia"/>
                <w:color w:val="auto"/>
                <w:lang w:val="en-US" w:eastAsia="zh-CN"/>
              </w:rPr>
              <w:t>33.1</w:t>
            </w:r>
            <w:r>
              <w:rPr>
                <w:rFonts w:hint="eastAsia"/>
                <w:color w:val="auto"/>
              </w:rPr>
              <w:t>.1词语定义</w:t>
            </w:r>
          </w:p>
        </w:tc>
      </w:tr>
      <w:tr w14:paraId="3E38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3" w:type="dxa"/>
            <w:noWrap w:val="0"/>
            <w:vAlign w:val="center"/>
          </w:tcPr>
          <w:p w14:paraId="4F2EE7A5">
            <w:pPr>
              <w:spacing w:line="312" w:lineRule="auto"/>
              <w:jc w:val="center"/>
              <w:rPr>
                <w:rFonts w:hint="default" w:eastAsia="宋体"/>
                <w:color w:val="auto"/>
                <w:lang w:val="en-US" w:eastAsia="zh-CN"/>
              </w:rPr>
            </w:pPr>
            <w:r>
              <w:rPr>
                <w:rFonts w:hint="eastAsia"/>
                <w:color w:val="auto"/>
                <w:lang w:val="en-US" w:eastAsia="zh-CN"/>
              </w:rPr>
              <w:t>33.1</w:t>
            </w:r>
            <w:r>
              <w:rPr>
                <w:rFonts w:hint="eastAsia"/>
                <w:color w:val="auto"/>
              </w:rPr>
              <w:t>.1</w:t>
            </w:r>
            <w:r>
              <w:rPr>
                <w:rFonts w:hint="eastAsia"/>
                <w:color w:val="auto"/>
                <w:lang w:val="en-US" w:eastAsia="zh-CN"/>
              </w:rPr>
              <w:t>.1</w:t>
            </w:r>
          </w:p>
        </w:tc>
        <w:tc>
          <w:tcPr>
            <w:tcW w:w="1348" w:type="dxa"/>
            <w:noWrap w:val="0"/>
            <w:vAlign w:val="center"/>
          </w:tcPr>
          <w:p w14:paraId="0BC8D6B1">
            <w:pPr>
              <w:jc w:val="center"/>
              <w:rPr>
                <w:color w:val="auto"/>
              </w:rPr>
            </w:pPr>
            <w:r>
              <w:rPr>
                <w:rFonts w:hint="eastAsia"/>
                <w:color w:val="auto"/>
              </w:rPr>
              <w:t>重大违法记录</w:t>
            </w:r>
          </w:p>
        </w:tc>
        <w:tc>
          <w:tcPr>
            <w:tcW w:w="7679" w:type="dxa"/>
            <w:gridSpan w:val="2"/>
            <w:noWrap w:val="0"/>
            <w:vAlign w:val="center"/>
          </w:tcPr>
          <w:p w14:paraId="0D805CDC">
            <w:pPr>
              <w:rPr>
                <w:b/>
                <w:color w:val="auto"/>
              </w:rPr>
            </w:pPr>
            <w:r>
              <w:rPr>
                <w:rFonts w:hint="eastAsia"/>
                <w:color w:val="auto"/>
              </w:rPr>
              <w:t>是指供应商因违法经营受到刑事处罚或者责令停产停业、吊销许可证或者执照、较大数额罚款（指供应商有权提出听证程序的罚款额度）等行政处罚。</w:t>
            </w:r>
          </w:p>
        </w:tc>
      </w:tr>
      <w:tr w14:paraId="3FAC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110" w:type="dxa"/>
            <w:gridSpan w:val="4"/>
            <w:noWrap w:val="0"/>
            <w:vAlign w:val="center"/>
          </w:tcPr>
          <w:p w14:paraId="352B90CF">
            <w:pPr>
              <w:rPr>
                <w:color w:val="auto"/>
              </w:rPr>
            </w:pPr>
            <w:r>
              <w:rPr>
                <w:rFonts w:hint="eastAsia"/>
                <w:color w:val="auto"/>
                <w:lang w:val="en-US" w:eastAsia="zh-CN"/>
              </w:rPr>
              <w:t>33.1</w:t>
            </w:r>
            <w:r>
              <w:rPr>
                <w:rFonts w:hint="eastAsia"/>
                <w:color w:val="auto"/>
              </w:rPr>
              <w:t>..2预算价（最高限价）含税</w:t>
            </w:r>
          </w:p>
        </w:tc>
      </w:tr>
      <w:tr w14:paraId="6CBC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431" w:type="dxa"/>
            <w:gridSpan w:val="2"/>
            <w:noWrap w:val="0"/>
            <w:vAlign w:val="center"/>
          </w:tcPr>
          <w:p w14:paraId="3DB4CC65">
            <w:pPr>
              <w:jc w:val="center"/>
              <w:rPr>
                <w:b/>
                <w:bCs/>
                <w:color w:val="auto"/>
                <w:highlight w:val="yellow"/>
              </w:rPr>
            </w:pPr>
            <w:r>
              <w:rPr>
                <w:rFonts w:hint="eastAsia"/>
                <w:color w:val="auto"/>
              </w:rPr>
              <w:t>预算价（最高限价）含税</w:t>
            </w:r>
          </w:p>
        </w:tc>
        <w:tc>
          <w:tcPr>
            <w:tcW w:w="7679" w:type="dxa"/>
            <w:gridSpan w:val="2"/>
            <w:noWrap w:val="0"/>
            <w:vAlign w:val="center"/>
          </w:tcPr>
          <w:p w14:paraId="311E013C">
            <w:pPr>
              <w:rPr>
                <w:b/>
                <w:bCs/>
                <w:color w:val="auto"/>
              </w:rPr>
            </w:pPr>
            <w:r>
              <w:rPr>
                <w:rFonts w:hint="eastAsia"/>
                <w:b/>
                <w:bCs/>
                <w:color w:val="auto"/>
              </w:rPr>
              <w:t>□不设最高限价</w:t>
            </w:r>
          </w:p>
          <w:p w14:paraId="4F24307E">
            <w:pPr>
              <w:rPr>
                <w:color w:val="auto"/>
              </w:rPr>
            </w:pPr>
            <w:r>
              <w:rPr>
                <w:rFonts w:hint="eastAsia" w:ascii="宋体" w:hAnsi="宋体" w:cs="宋体"/>
                <w:color w:val="auto"/>
              </w:rPr>
              <w:t>■</w:t>
            </w:r>
            <w:r>
              <w:rPr>
                <w:rFonts w:hint="eastAsia"/>
                <w:b/>
                <w:bCs/>
                <w:color w:val="auto"/>
              </w:rPr>
              <w:t>设最高限</w:t>
            </w:r>
            <w:r>
              <w:rPr>
                <w:rFonts w:hint="eastAsia" w:eastAsia="宋体"/>
                <w:b/>
                <w:bCs/>
                <w:color w:val="auto"/>
              </w:rPr>
              <w:t>价：￥</w:t>
            </w:r>
            <w:r>
              <w:rPr>
                <w:rFonts w:hint="eastAsia" w:eastAsia="宋体"/>
                <w:b/>
                <w:bCs/>
                <w:color w:val="auto"/>
                <w:lang w:val="en-US" w:eastAsia="zh-CN"/>
              </w:rPr>
              <w:t>215.00万元</w:t>
            </w:r>
            <w:r>
              <w:rPr>
                <w:rFonts w:hint="eastAsia" w:eastAsia="宋体"/>
                <w:b/>
                <w:bCs/>
                <w:color w:val="auto"/>
              </w:rPr>
              <w:t>（大写：</w:t>
            </w:r>
            <w:r>
              <w:rPr>
                <w:rFonts w:hint="eastAsia" w:eastAsia="宋体"/>
                <w:b/>
                <w:bCs/>
                <w:color w:val="auto"/>
                <w:lang w:val="en-US" w:eastAsia="zh-CN"/>
              </w:rPr>
              <w:t>贰佰壹拾伍万元整</w:t>
            </w:r>
            <w:r>
              <w:rPr>
                <w:rFonts w:hint="eastAsia"/>
                <w:b/>
                <w:bCs/>
                <w:color w:val="auto"/>
              </w:rPr>
              <w:t>）</w:t>
            </w:r>
          </w:p>
        </w:tc>
      </w:tr>
      <w:tr w14:paraId="55EF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0110" w:type="dxa"/>
            <w:gridSpan w:val="4"/>
            <w:noWrap w:val="0"/>
            <w:vAlign w:val="center"/>
          </w:tcPr>
          <w:p w14:paraId="5EBDB8DE">
            <w:pPr>
              <w:spacing w:line="280" w:lineRule="exact"/>
              <w:rPr>
                <w:color w:val="auto"/>
              </w:rPr>
            </w:pPr>
            <w:r>
              <w:rPr>
                <w:rFonts w:hint="eastAsia"/>
                <w:color w:val="auto"/>
                <w:lang w:val="en-US" w:eastAsia="zh-CN"/>
              </w:rPr>
              <w:t>33</w:t>
            </w:r>
            <w:r>
              <w:rPr>
                <w:rFonts w:hint="eastAsia"/>
                <w:color w:val="auto"/>
              </w:rPr>
              <w:t>.</w:t>
            </w:r>
            <w:r>
              <w:rPr>
                <w:rFonts w:hint="eastAsia"/>
                <w:color w:val="auto"/>
                <w:lang w:val="en-US" w:eastAsia="zh-CN"/>
              </w:rPr>
              <w:t>1.</w:t>
            </w:r>
            <w:r>
              <w:rPr>
                <w:rFonts w:hint="eastAsia"/>
                <w:color w:val="auto"/>
              </w:rPr>
              <w:t>3“暗标”评审</w:t>
            </w:r>
          </w:p>
        </w:tc>
      </w:tr>
      <w:tr w14:paraId="3847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2431" w:type="dxa"/>
            <w:gridSpan w:val="2"/>
            <w:noWrap w:val="0"/>
            <w:vAlign w:val="center"/>
          </w:tcPr>
          <w:p w14:paraId="05078951">
            <w:pPr>
              <w:spacing w:line="280" w:lineRule="exact"/>
              <w:rPr>
                <w:color w:val="auto"/>
              </w:rPr>
            </w:pPr>
            <w:r>
              <w:rPr>
                <w:rFonts w:hint="eastAsia"/>
                <w:color w:val="auto"/>
              </w:rPr>
              <w:t>技术</w:t>
            </w:r>
            <w:r>
              <w:rPr>
                <w:color w:val="auto"/>
              </w:rPr>
              <w:t>方案</w:t>
            </w:r>
            <w:r>
              <w:rPr>
                <w:rFonts w:hint="eastAsia"/>
                <w:color w:val="auto"/>
              </w:rPr>
              <w:t>是否采用“暗标”评审方式</w:t>
            </w:r>
          </w:p>
        </w:tc>
        <w:tc>
          <w:tcPr>
            <w:tcW w:w="7679" w:type="dxa"/>
            <w:gridSpan w:val="2"/>
            <w:noWrap w:val="0"/>
            <w:vAlign w:val="center"/>
          </w:tcPr>
          <w:p w14:paraId="26078105">
            <w:pPr>
              <w:spacing w:line="280" w:lineRule="exact"/>
              <w:rPr>
                <w:color w:val="auto"/>
              </w:rPr>
            </w:pPr>
            <w:r>
              <w:rPr>
                <w:rFonts w:hint="eastAsia" w:ascii="宋体" w:hAnsi="宋体" w:cs="宋体"/>
                <w:color w:val="auto"/>
              </w:rPr>
              <w:t>■</w:t>
            </w:r>
            <w:r>
              <w:rPr>
                <w:rFonts w:hint="eastAsia"/>
                <w:color w:val="auto"/>
              </w:rPr>
              <w:t>不采用</w:t>
            </w:r>
          </w:p>
          <w:p w14:paraId="1CE154F6">
            <w:pPr>
              <w:spacing w:line="280" w:lineRule="exact"/>
              <w:rPr>
                <w:color w:val="auto"/>
              </w:rPr>
            </w:pPr>
            <w:r>
              <w:rPr>
                <w:rFonts w:hint="eastAsia"/>
                <w:color w:val="auto"/>
              </w:rPr>
              <w:t>□采用，……。</w:t>
            </w:r>
          </w:p>
        </w:tc>
      </w:tr>
      <w:tr w14:paraId="0B74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0110" w:type="dxa"/>
            <w:gridSpan w:val="4"/>
            <w:noWrap w:val="0"/>
            <w:vAlign w:val="center"/>
          </w:tcPr>
          <w:p w14:paraId="31C36C42">
            <w:pPr>
              <w:spacing w:line="280" w:lineRule="exact"/>
              <w:rPr>
                <w:color w:val="auto"/>
              </w:rPr>
            </w:pPr>
            <w:r>
              <w:rPr>
                <w:rFonts w:hint="eastAsia"/>
                <w:color w:val="auto"/>
                <w:lang w:val="en-US" w:eastAsia="zh-CN"/>
              </w:rPr>
              <w:t>33</w:t>
            </w:r>
            <w:r>
              <w:rPr>
                <w:rFonts w:hint="eastAsia"/>
                <w:color w:val="auto"/>
              </w:rPr>
              <w:t>.</w:t>
            </w:r>
            <w:r>
              <w:rPr>
                <w:rFonts w:hint="eastAsia"/>
                <w:color w:val="auto"/>
                <w:lang w:val="en-US" w:eastAsia="zh-CN"/>
              </w:rPr>
              <w:t>1.4</w:t>
            </w:r>
            <w:r>
              <w:rPr>
                <w:rFonts w:hint="eastAsia"/>
                <w:color w:val="auto"/>
              </w:rPr>
              <w:t>样品</w:t>
            </w:r>
          </w:p>
        </w:tc>
      </w:tr>
      <w:tr w14:paraId="42AD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431" w:type="dxa"/>
            <w:gridSpan w:val="2"/>
            <w:noWrap w:val="0"/>
            <w:vAlign w:val="center"/>
          </w:tcPr>
          <w:p w14:paraId="02D14562">
            <w:pPr>
              <w:spacing w:line="280" w:lineRule="exact"/>
              <w:rPr>
                <w:color w:val="auto"/>
              </w:rPr>
            </w:pPr>
            <w:r>
              <w:rPr>
                <w:rFonts w:hint="eastAsia"/>
                <w:color w:val="auto"/>
              </w:rPr>
              <w:t>是否要求提交样品</w:t>
            </w:r>
          </w:p>
        </w:tc>
        <w:tc>
          <w:tcPr>
            <w:tcW w:w="7679" w:type="dxa"/>
            <w:gridSpan w:val="2"/>
            <w:noWrap w:val="0"/>
            <w:vAlign w:val="center"/>
          </w:tcPr>
          <w:p w14:paraId="16A22FBE">
            <w:pPr>
              <w:pStyle w:val="10"/>
              <w:spacing w:line="360" w:lineRule="exact"/>
              <w:rPr>
                <w:rFonts w:hAnsi="宋体" w:cs="宋体"/>
                <w:color w:val="auto"/>
                <w:szCs w:val="21"/>
              </w:rPr>
            </w:pPr>
            <w:r>
              <w:rPr>
                <w:rFonts w:hint="eastAsia" w:hAnsi="宋体" w:cs="宋体"/>
                <w:color w:val="auto"/>
                <w:szCs w:val="21"/>
              </w:rPr>
              <w:t>■不要求</w:t>
            </w:r>
          </w:p>
          <w:p w14:paraId="45E78CFB">
            <w:pPr>
              <w:spacing w:line="280" w:lineRule="exact"/>
              <w:rPr>
                <w:color w:val="auto"/>
              </w:rPr>
            </w:pPr>
            <w:r>
              <w:rPr>
                <w:rFonts w:hint="eastAsia" w:ascii="宋体" w:hAnsi="宋体" w:cs="宋体"/>
                <w:color w:val="auto"/>
                <w:szCs w:val="21"/>
              </w:rPr>
              <w:sym w:font="Wingdings 2" w:char="00A3"/>
            </w:r>
            <w:r>
              <w:rPr>
                <w:rFonts w:hint="eastAsia" w:ascii="宋体" w:hAnsi="宋体" w:cs="宋体"/>
                <w:color w:val="auto"/>
                <w:szCs w:val="21"/>
              </w:rPr>
              <w:t>要求，……。</w:t>
            </w:r>
          </w:p>
        </w:tc>
      </w:tr>
      <w:tr w14:paraId="7B55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10" w:type="dxa"/>
            <w:gridSpan w:val="4"/>
            <w:noWrap w:val="0"/>
            <w:vAlign w:val="center"/>
          </w:tcPr>
          <w:p w14:paraId="79492073">
            <w:pPr>
              <w:spacing w:line="280" w:lineRule="exact"/>
              <w:rPr>
                <w:rFonts w:ascii="宋体" w:hAnsi="宋体" w:cs="宋体"/>
                <w:color w:val="auto"/>
                <w:szCs w:val="21"/>
              </w:rPr>
            </w:pPr>
            <w:r>
              <w:rPr>
                <w:rFonts w:hint="eastAsia"/>
                <w:color w:val="auto"/>
                <w:lang w:val="en-US" w:eastAsia="zh-CN"/>
              </w:rPr>
              <w:t>33.1</w:t>
            </w:r>
            <w:r>
              <w:rPr>
                <w:rFonts w:hint="eastAsia"/>
                <w:color w:val="auto"/>
              </w:rPr>
              <w:t>.5述标或演示</w:t>
            </w:r>
          </w:p>
        </w:tc>
      </w:tr>
      <w:tr w14:paraId="3A60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431" w:type="dxa"/>
            <w:gridSpan w:val="2"/>
            <w:noWrap w:val="0"/>
            <w:vAlign w:val="center"/>
          </w:tcPr>
          <w:p w14:paraId="1B513B60">
            <w:pPr>
              <w:spacing w:line="280" w:lineRule="exact"/>
              <w:rPr>
                <w:color w:val="auto"/>
              </w:rPr>
            </w:pPr>
            <w:r>
              <w:rPr>
                <w:rFonts w:hint="eastAsia"/>
                <w:color w:val="auto"/>
              </w:rPr>
              <w:t>是否要求述标或演示</w:t>
            </w:r>
          </w:p>
        </w:tc>
        <w:tc>
          <w:tcPr>
            <w:tcW w:w="7679" w:type="dxa"/>
            <w:gridSpan w:val="2"/>
            <w:noWrap w:val="0"/>
            <w:vAlign w:val="center"/>
          </w:tcPr>
          <w:p w14:paraId="2032EB70">
            <w:pPr>
              <w:pStyle w:val="10"/>
              <w:spacing w:line="360" w:lineRule="exact"/>
              <w:rPr>
                <w:rFonts w:hAnsi="宋体" w:cs="宋体"/>
                <w:color w:val="auto"/>
                <w:szCs w:val="21"/>
              </w:rPr>
            </w:pPr>
            <w:r>
              <w:rPr>
                <w:rFonts w:hint="eastAsia" w:hAnsi="宋体" w:cs="宋体"/>
                <w:color w:val="auto"/>
                <w:szCs w:val="21"/>
              </w:rPr>
              <w:t>■不要求</w:t>
            </w:r>
          </w:p>
          <w:p w14:paraId="76E8255A">
            <w:pPr>
              <w:spacing w:line="280" w:lineRule="exact"/>
              <w:rPr>
                <w:rFonts w:ascii="宋体" w:hAnsi="宋体" w:cs="宋体"/>
                <w:color w:val="auto"/>
                <w:szCs w:val="21"/>
              </w:rPr>
            </w:pPr>
            <w:r>
              <w:rPr>
                <w:rFonts w:hint="eastAsia" w:ascii="宋体" w:hAnsi="宋体" w:cs="宋体"/>
                <w:color w:val="auto"/>
                <w:szCs w:val="21"/>
              </w:rPr>
              <w:sym w:font="Wingdings 2" w:char="00A3"/>
            </w:r>
            <w:r>
              <w:rPr>
                <w:rFonts w:hint="eastAsia" w:ascii="宋体" w:hAnsi="宋体" w:cs="宋体"/>
                <w:color w:val="auto"/>
                <w:szCs w:val="21"/>
              </w:rPr>
              <w:t>要求，……。</w:t>
            </w:r>
          </w:p>
        </w:tc>
      </w:tr>
      <w:tr w14:paraId="733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110" w:type="dxa"/>
            <w:gridSpan w:val="4"/>
            <w:noWrap w:val="0"/>
            <w:vAlign w:val="center"/>
          </w:tcPr>
          <w:p w14:paraId="29B5D5AA">
            <w:pPr>
              <w:spacing w:line="280" w:lineRule="exact"/>
              <w:rPr>
                <w:color w:val="auto"/>
              </w:rPr>
            </w:pPr>
            <w:r>
              <w:rPr>
                <w:rFonts w:hint="eastAsia"/>
                <w:color w:val="auto"/>
                <w:lang w:val="en-US" w:eastAsia="zh-CN"/>
              </w:rPr>
              <w:t>33.1</w:t>
            </w:r>
            <w:r>
              <w:rPr>
                <w:rFonts w:hint="eastAsia"/>
                <w:color w:val="auto"/>
              </w:rPr>
              <w:t>.6</w:t>
            </w:r>
            <w:r>
              <w:rPr>
                <w:rFonts w:hint="eastAsia"/>
                <w:color w:val="auto"/>
                <w:lang w:val="en-US" w:eastAsia="zh-CN"/>
              </w:rPr>
              <w:t>中标</w:t>
            </w:r>
            <w:r>
              <w:rPr>
                <w:rFonts w:hint="eastAsia"/>
                <w:color w:val="auto"/>
              </w:rPr>
              <w:t>公告</w:t>
            </w:r>
          </w:p>
        </w:tc>
      </w:tr>
      <w:tr w14:paraId="2499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2212F464">
            <w:pPr>
              <w:spacing w:line="280" w:lineRule="exact"/>
              <w:ind w:firstLine="420" w:firstLineChars="200"/>
              <w:rPr>
                <w:color w:val="auto"/>
              </w:rPr>
            </w:pPr>
            <w:r>
              <w:rPr>
                <w:rFonts w:hint="eastAsia"/>
                <w:color w:val="auto"/>
              </w:rPr>
              <w:t>采购人将</w:t>
            </w:r>
            <w:r>
              <w:rPr>
                <w:rFonts w:hint="eastAsia"/>
                <w:color w:val="auto"/>
                <w:lang w:val="en-US" w:eastAsia="zh-CN"/>
              </w:rPr>
              <w:t>中标</w:t>
            </w:r>
            <w:r>
              <w:rPr>
                <w:rFonts w:hint="eastAsia"/>
                <w:color w:val="auto"/>
              </w:rPr>
              <w:t>情况在本采购项目采购公告发布的同一媒介予以公告，公告期1个工作日，</w:t>
            </w:r>
            <w:r>
              <w:rPr>
                <w:color w:val="auto"/>
              </w:rPr>
              <w:t>同时</w:t>
            </w:r>
            <w:r>
              <w:rPr>
                <w:rFonts w:hint="eastAsia"/>
                <w:color w:val="auto"/>
              </w:rPr>
              <w:t>发出</w:t>
            </w:r>
            <w:r>
              <w:rPr>
                <w:rFonts w:hint="eastAsia"/>
                <w:color w:val="auto"/>
                <w:lang w:val="en-US" w:eastAsia="zh-CN"/>
              </w:rPr>
              <w:t>中标</w:t>
            </w:r>
            <w:r>
              <w:rPr>
                <w:rFonts w:hint="eastAsia"/>
                <w:color w:val="auto"/>
              </w:rPr>
              <w:t>通知书。</w:t>
            </w:r>
          </w:p>
        </w:tc>
      </w:tr>
      <w:tr w14:paraId="348A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110" w:type="dxa"/>
            <w:gridSpan w:val="4"/>
            <w:noWrap w:val="0"/>
            <w:vAlign w:val="center"/>
          </w:tcPr>
          <w:p w14:paraId="229154F4">
            <w:pPr>
              <w:spacing w:line="280" w:lineRule="exact"/>
              <w:ind w:left="210" w:leftChars="0" w:hanging="210" w:hangingChars="10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33.1</w:t>
            </w:r>
            <w:r>
              <w:rPr>
                <w:rFonts w:hint="eastAsia"/>
                <w:color w:val="auto"/>
              </w:rPr>
              <w:t>.7知识产权</w:t>
            </w:r>
          </w:p>
        </w:tc>
      </w:tr>
      <w:tr w14:paraId="0599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6CE92121">
            <w:pPr>
              <w:spacing w:line="280" w:lineRule="exact"/>
              <w:ind w:firstLine="420" w:firstLineChars="200"/>
              <w:rPr>
                <w:color w:val="auto"/>
              </w:rPr>
            </w:pPr>
            <w:r>
              <w:rPr>
                <w:rFonts w:hint="eastAsia"/>
                <w:color w:val="auto"/>
              </w:rPr>
              <w:t>构成本</w:t>
            </w:r>
            <w:r>
              <w:rPr>
                <w:rFonts w:hint="eastAsia" w:ascii="宋体" w:hAnsi="宋体" w:cs="宋体"/>
                <w:color w:val="auto"/>
                <w:lang w:val="en-US" w:eastAsia="zh-CN"/>
              </w:rPr>
              <w:t>采购招标</w:t>
            </w:r>
            <w:r>
              <w:rPr>
                <w:rFonts w:hint="eastAsia"/>
                <w:color w:val="auto"/>
              </w:rPr>
              <w:t>文件各个组成部分的文件，未经采购人书面同意，供应商不得擅自复印和用于非本采购项目所需的其他目的。采购人全部或者部分使用未</w:t>
            </w:r>
            <w:r>
              <w:rPr>
                <w:rFonts w:hint="eastAsia"/>
                <w:color w:val="auto"/>
                <w:lang w:eastAsia="zh-CN"/>
              </w:rPr>
              <w:t>中标</w:t>
            </w:r>
            <w:r>
              <w:rPr>
                <w:rFonts w:hint="eastAsia"/>
                <w:color w:val="auto"/>
              </w:rPr>
              <w:t>供应商的</w:t>
            </w:r>
            <w:r>
              <w:rPr>
                <w:rFonts w:hint="eastAsia" w:ascii="宋体" w:hAnsi="宋体" w:eastAsia="宋体" w:cs="宋体"/>
                <w:color w:val="auto"/>
                <w:lang w:val="en-US" w:eastAsia="zh-CN"/>
              </w:rPr>
              <w:t>投标</w:t>
            </w:r>
            <w:r>
              <w:rPr>
                <w:rFonts w:hint="eastAsia"/>
                <w:color w:val="auto"/>
              </w:rPr>
              <w:t>文件中的技术成果或技术方案时，需征得其书面同意，并不得擅自复印或提供给第三人。</w:t>
            </w:r>
          </w:p>
          <w:p w14:paraId="6D1A7855">
            <w:pPr>
              <w:spacing w:line="280" w:lineRule="exact"/>
              <w:ind w:firstLine="420" w:firstLineChars="200"/>
              <w:rPr>
                <w:rFonts w:hint="eastAsia" w:ascii="Times New Roman" w:hAnsi="Times New Roman" w:eastAsia="宋体" w:cs="Times New Roman"/>
                <w:color w:val="auto"/>
                <w:kern w:val="2"/>
                <w:sz w:val="21"/>
                <w:szCs w:val="24"/>
                <w:lang w:val="en-US" w:eastAsia="zh-CN" w:bidi="ar-SA"/>
              </w:rPr>
            </w:pPr>
            <w:r>
              <w:rPr>
                <w:rFonts w:hint="eastAsia"/>
                <w:color w:val="auto"/>
              </w:rPr>
              <w:t>供应商</w:t>
            </w:r>
            <w:r>
              <w:rPr>
                <w:color w:val="auto"/>
              </w:rPr>
              <w:t>在</w:t>
            </w:r>
            <w:r>
              <w:rPr>
                <w:rFonts w:hint="eastAsia" w:ascii="宋体" w:hAnsi="宋体" w:eastAsia="宋体" w:cs="宋体"/>
                <w:color w:val="auto"/>
                <w:lang w:val="en-US" w:eastAsia="zh-CN"/>
              </w:rPr>
              <w:t>投标</w:t>
            </w:r>
            <w:r>
              <w:rPr>
                <w:color w:val="auto"/>
              </w:rPr>
              <w:t>文件中采用的第三方知识产权，由</w:t>
            </w:r>
            <w:r>
              <w:rPr>
                <w:rFonts w:hint="eastAsia"/>
                <w:color w:val="auto"/>
              </w:rPr>
              <w:t>供应商</w:t>
            </w:r>
            <w:r>
              <w:rPr>
                <w:color w:val="auto"/>
              </w:rPr>
              <w:t>自行办理</w:t>
            </w:r>
            <w:r>
              <w:rPr>
                <w:rFonts w:hint="eastAsia"/>
                <w:color w:val="auto"/>
              </w:rPr>
              <w:t>知识产权</w:t>
            </w:r>
            <w:r>
              <w:rPr>
                <w:color w:val="auto"/>
              </w:rPr>
              <w:t>的使用权，任何涉及知识产权的争议与纠纷，</w:t>
            </w:r>
            <w:r>
              <w:rPr>
                <w:rFonts w:hint="eastAsia"/>
                <w:color w:val="auto"/>
              </w:rPr>
              <w:t>采购</w:t>
            </w:r>
            <w:r>
              <w:rPr>
                <w:color w:val="auto"/>
              </w:rPr>
              <w:t>人不承担</w:t>
            </w:r>
            <w:r>
              <w:rPr>
                <w:rFonts w:hint="eastAsia"/>
                <w:color w:val="auto"/>
              </w:rPr>
              <w:t>责任</w:t>
            </w:r>
            <w:r>
              <w:rPr>
                <w:color w:val="auto"/>
              </w:rPr>
              <w:t>。</w:t>
            </w:r>
          </w:p>
        </w:tc>
      </w:tr>
      <w:tr w14:paraId="1EAF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110" w:type="dxa"/>
            <w:gridSpan w:val="4"/>
            <w:noWrap w:val="0"/>
            <w:vAlign w:val="center"/>
          </w:tcPr>
          <w:p w14:paraId="4B85B349">
            <w:pPr>
              <w:spacing w:line="280" w:lineRule="exact"/>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33.1</w:t>
            </w:r>
            <w:r>
              <w:rPr>
                <w:rFonts w:hint="eastAsia"/>
                <w:color w:val="auto"/>
              </w:rPr>
              <w:t>.8重新采购和变更采购方式</w:t>
            </w:r>
          </w:p>
        </w:tc>
      </w:tr>
      <w:tr w14:paraId="3A94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7D92C4D9">
            <w:pPr>
              <w:spacing w:line="280" w:lineRule="exact"/>
              <w:ind w:firstLine="420" w:firstLineChars="200"/>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lang w:val="en-US" w:eastAsia="zh-CN"/>
              </w:rPr>
              <w:t>投标</w:t>
            </w:r>
            <w:r>
              <w:rPr>
                <w:rFonts w:hint="eastAsia"/>
                <w:color w:val="auto"/>
              </w:rPr>
              <w:t>文件提交截止后的供应商不足三家或通过资格审查或符合性审查的供应商不足三家的，除采购任务取消外，</w:t>
            </w:r>
            <w:r>
              <w:rPr>
                <w:rFonts w:hint="eastAsia" w:ascii="宋体" w:hAnsi="宋体" w:cs="宋体"/>
                <w:color w:val="auto"/>
                <w:lang w:val="en-US" w:eastAsia="zh-CN"/>
              </w:rPr>
              <w:t>采购招标</w:t>
            </w:r>
            <w:r>
              <w:rPr>
                <w:rFonts w:hint="eastAsia"/>
                <w:color w:val="auto"/>
              </w:rPr>
              <w:t>文件存在不合理条款或采购程序不符合规定的，改正后依法重新采购；</w:t>
            </w:r>
            <w:r>
              <w:rPr>
                <w:rFonts w:hint="eastAsia" w:ascii="宋体" w:hAnsi="宋体" w:cs="宋体"/>
                <w:color w:val="auto"/>
                <w:lang w:val="en-US" w:eastAsia="zh-CN"/>
              </w:rPr>
              <w:t>采购招标</w:t>
            </w:r>
            <w:r>
              <w:rPr>
                <w:rFonts w:hint="eastAsia"/>
                <w:color w:val="auto"/>
              </w:rPr>
              <w:t>文件没有不合理条款、采购程序符合规定的，采购人报财政管理部门批准后变更采购方式。</w:t>
            </w:r>
          </w:p>
        </w:tc>
      </w:tr>
      <w:tr w14:paraId="21B8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24CFB3FE">
            <w:pPr>
              <w:spacing w:line="312" w:lineRule="auto"/>
              <w:ind w:left="210" w:leftChars="0" w:hanging="210" w:hangingChars="10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33.1</w:t>
            </w:r>
            <w:r>
              <w:rPr>
                <w:rFonts w:hint="eastAsia"/>
                <w:color w:val="auto"/>
              </w:rPr>
              <w:t>.9同义词语</w:t>
            </w:r>
          </w:p>
        </w:tc>
      </w:tr>
      <w:tr w14:paraId="7635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2A8C2373">
            <w:pPr>
              <w:ind w:firstLine="420" w:firstLineChars="200"/>
              <w:rPr>
                <w:rFonts w:hint="eastAsia" w:ascii="Times New Roman" w:hAnsi="Times New Roman" w:eastAsia="宋体" w:cs="Times New Roman"/>
                <w:color w:val="auto"/>
                <w:kern w:val="2"/>
                <w:sz w:val="21"/>
                <w:szCs w:val="24"/>
                <w:lang w:val="en-US" w:eastAsia="zh-CN" w:bidi="ar-SA"/>
              </w:rPr>
            </w:pPr>
            <w:r>
              <w:rPr>
                <w:rFonts w:hint="eastAsia"/>
                <w:color w:val="auto"/>
              </w:rPr>
              <w:t>构成</w:t>
            </w:r>
            <w:r>
              <w:rPr>
                <w:rFonts w:hint="eastAsia" w:ascii="宋体" w:hAnsi="宋体" w:cs="宋体"/>
                <w:color w:val="auto"/>
                <w:lang w:val="en-US" w:eastAsia="zh-CN"/>
              </w:rPr>
              <w:t>采购招标</w:t>
            </w:r>
            <w:r>
              <w:rPr>
                <w:rFonts w:hint="eastAsia"/>
                <w:color w:val="auto"/>
              </w:rPr>
              <w:t>文件组成部分的“合同条款”和“采购需求”等章节中出现的措辞“发包人”和“承包人”，在采购投标阶段应当分别按“采购人”和“供应商”进行理解。本项目若为分公司参与投标的，法定代表人</w:t>
            </w:r>
            <w:r>
              <w:rPr>
                <w:rFonts w:hint="eastAsia"/>
                <w:color w:val="auto"/>
                <w:lang w:val="en-US" w:eastAsia="zh-CN"/>
              </w:rPr>
              <w:t>按负责人理解。</w:t>
            </w:r>
          </w:p>
        </w:tc>
      </w:tr>
      <w:tr w14:paraId="3D5A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57C6671E">
            <w:pPr>
              <w:spacing w:line="312" w:lineRule="auto"/>
              <w:ind w:left="210" w:leftChars="0" w:hanging="210" w:hangingChars="10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33.1</w:t>
            </w:r>
            <w:r>
              <w:rPr>
                <w:rFonts w:hint="eastAsia"/>
                <w:color w:val="auto"/>
              </w:rPr>
              <w:t>.1</w:t>
            </w:r>
            <w:r>
              <w:rPr>
                <w:rFonts w:hint="eastAsia"/>
                <w:color w:val="auto"/>
                <w:lang w:val="en-US" w:eastAsia="zh-CN"/>
              </w:rPr>
              <w:t>0</w:t>
            </w:r>
            <w:r>
              <w:rPr>
                <w:rFonts w:hint="eastAsia"/>
                <w:color w:val="auto"/>
              </w:rPr>
              <w:t>解释权</w:t>
            </w:r>
          </w:p>
        </w:tc>
      </w:tr>
      <w:tr w14:paraId="27FA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7C0A264E">
            <w:pPr>
              <w:ind w:firstLine="420" w:firstLineChars="200"/>
              <w:rPr>
                <w:rFonts w:hint="eastAsia" w:ascii="Times New Roman" w:hAnsi="Times New Roman" w:eastAsia="宋体" w:cs="Times New Roman"/>
                <w:color w:val="auto"/>
                <w:kern w:val="2"/>
                <w:sz w:val="21"/>
                <w:szCs w:val="24"/>
                <w:lang w:val="en-US" w:eastAsia="zh-CN" w:bidi="ar-SA"/>
              </w:rPr>
            </w:pPr>
            <w:r>
              <w:rPr>
                <w:rFonts w:hint="eastAsia"/>
                <w:color w:val="auto"/>
              </w:rPr>
              <w:t>构成本</w:t>
            </w:r>
            <w:r>
              <w:rPr>
                <w:rFonts w:hint="eastAsia" w:ascii="宋体" w:hAnsi="宋体" w:cs="宋体"/>
                <w:color w:val="auto"/>
                <w:lang w:val="en-US" w:eastAsia="zh-CN"/>
              </w:rPr>
              <w:t>采购招标</w:t>
            </w:r>
            <w:r>
              <w:rPr>
                <w:rFonts w:hint="eastAsia"/>
                <w:color w:val="auto"/>
              </w:rPr>
              <w:t>文件的各个组成文件应互为解释，互为说明；如有不明确或不一致，构成合同文件组成内容的，以合同文件约定内容为准，且以专用合同条款约定的合同文件优先顺序解释；除</w:t>
            </w:r>
            <w:r>
              <w:rPr>
                <w:rFonts w:hint="eastAsia" w:ascii="宋体" w:hAnsi="宋体" w:cs="宋体"/>
                <w:color w:val="auto"/>
                <w:lang w:val="en-US" w:eastAsia="zh-CN"/>
              </w:rPr>
              <w:t>采购招标</w:t>
            </w:r>
            <w:r>
              <w:rPr>
                <w:rFonts w:hint="eastAsia"/>
                <w:color w:val="auto"/>
              </w:rPr>
              <w:t>文件中有特别规定外，仅适用于采购投标阶段的规定，按采购公告（投标邀请书）、供应商须知、评标办法、</w:t>
            </w:r>
            <w:r>
              <w:rPr>
                <w:rFonts w:hint="eastAsia" w:ascii="宋体" w:hAnsi="宋体" w:eastAsia="宋体" w:cs="宋体"/>
                <w:color w:val="auto"/>
                <w:lang w:val="en-US" w:eastAsia="zh-CN"/>
              </w:rPr>
              <w:t>投标</w:t>
            </w:r>
            <w:r>
              <w:rPr>
                <w:rFonts w:hint="eastAsia"/>
                <w:color w:val="auto"/>
              </w:rPr>
              <w:t>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60C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4C5743E3">
            <w:pP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33.1</w:t>
            </w:r>
            <w:r>
              <w:rPr>
                <w:rFonts w:hint="eastAsia"/>
                <w:color w:val="auto"/>
              </w:rPr>
              <w:t>.1</w:t>
            </w:r>
            <w:r>
              <w:rPr>
                <w:rFonts w:hint="eastAsia"/>
                <w:color w:val="auto"/>
                <w:lang w:val="en-US" w:eastAsia="zh-CN"/>
              </w:rPr>
              <w:t>1</w:t>
            </w:r>
            <w:r>
              <w:rPr>
                <w:rFonts w:hint="eastAsia"/>
                <w:color w:val="auto"/>
              </w:rPr>
              <w:t>采购人补充的其他内容</w:t>
            </w:r>
          </w:p>
        </w:tc>
      </w:tr>
      <w:tr w14:paraId="0AAF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725A0F6F">
            <w:pPr>
              <w:rPr>
                <w:b/>
                <w:color w:val="auto"/>
              </w:rPr>
            </w:pPr>
            <w:r>
              <w:rPr>
                <w:rFonts w:hint="eastAsia"/>
                <w:b/>
                <w:color w:val="auto"/>
              </w:rPr>
              <w:t>1、</w:t>
            </w:r>
            <w:r>
              <w:rPr>
                <w:b/>
                <w:color w:val="auto"/>
              </w:rPr>
              <w:t>关于政府采购政策的规定：</w:t>
            </w:r>
          </w:p>
          <w:p w14:paraId="75265120">
            <w:pPr>
              <w:ind w:firstLine="420" w:firstLineChars="200"/>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本项目不属于专门面向中小微企业采购，评审时，小微型企业、监狱企业、残疾人福利性单位报价给予10%的扣除。用扣除后的价格参与评审，监狱企业、残疾人福利性单位属于小型、微型企业的，不重复享受政策</w:t>
            </w:r>
            <w:r>
              <w:rPr>
                <w:rFonts w:hint="eastAsia" w:ascii="Times New Roman" w:hAnsi="Times New Roman" w:eastAsia="宋体" w:cs="Times New Roman"/>
                <w:color w:val="auto"/>
                <w:lang w:eastAsia="zh-CN"/>
              </w:rPr>
              <w:t>。</w:t>
            </w:r>
          </w:p>
        </w:tc>
      </w:tr>
      <w:tr w14:paraId="1FD5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622AF94D">
            <w:pPr>
              <w:rPr>
                <w:b/>
                <w:color w:val="auto"/>
              </w:rPr>
            </w:pPr>
            <w:r>
              <w:rPr>
                <w:rFonts w:hint="eastAsia"/>
                <w:b/>
                <w:color w:val="auto"/>
              </w:rPr>
              <w:t>2、</w:t>
            </w:r>
            <w:r>
              <w:rPr>
                <w:b/>
                <w:color w:val="auto"/>
              </w:rPr>
              <w:t>关于证明材料要求的说明</w:t>
            </w:r>
          </w:p>
          <w:p w14:paraId="63FEAEB1">
            <w:pPr>
              <w:ind w:firstLine="420" w:firstLineChars="200"/>
              <w:rPr>
                <w:rFonts w:hint="eastAsia" w:ascii="Times New Roman" w:hAnsi="Times New Roman" w:eastAsia="宋体" w:cs="Times New Roman"/>
                <w:color w:val="auto"/>
                <w:kern w:val="2"/>
                <w:sz w:val="21"/>
                <w:szCs w:val="24"/>
                <w:lang w:val="en-US" w:eastAsia="zh-CN" w:bidi="ar-SA"/>
              </w:rPr>
            </w:pPr>
            <w:r>
              <w:rPr>
                <w:rFonts w:hint="eastAsia"/>
                <w:color w:val="auto"/>
              </w:rPr>
              <w:t>证明材料</w:t>
            </w:r>
            <w:r>
              <w:rPr>
                <w:color w:val="auto"/>
              </w:rPr>
              <w:t>须保证真实、</w:t>
            </w:r>
            <w:r>
              <w:rPr>
                <w:rFonts w:hint="eastAsia"/>
                <w:color w:val="auto"/>
              </w:rPr>
              <w:t>有效</w:t>
            </w:r>
            <w:r>
              <w:rPr>
                <w:color w:val="auto"/>
              </w:rPr>
              <w:t>、清晰、完整</w:t>
            </w:r>
            <w:r>
              <w:rPr>
                <w:rFonts w:hint="eastAsia"/>
                <w:color w:val="auto"/>
              </w:rPr>
              <w:t>，否则不能被认定或不能被完全认定，如有虚假按相关法律法规处罚。</w:t>
            </w:r>
          </w:p>
        </w:tc>
      </w:tr>
      <w:tr w14:paraId="5DBD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0C6B5CDA">
            <w:pPr>
              <w:rPr>
                <w:rFonts w:hint="eastAsia" w:ascii="Times New Roman" w:hAnsi="Times New Roman" w:eastAsia="宋体" w:cs="Times New Roman"/>
                <w:b/>
                <w:bCs/>
                <w:color w:val="auto"/>
                <w:kern w:val="2"/>
                <w:sz w:val="21"/>
                <w:szCs w:val="24"/>
                <w:lang w:val="en-US" w:eastAsia="zh-CN" w:bidi="ar-SA"/>
              </w:rPr>
            </w:pPr>
            <w:r>
              <w:rPr>
                <w:rFonts w:hint="eastAsia"/>
                <w:b/>
                <w:bCs/>
                <w:color w:val="auto"/>
                <w:lang w:val="en-US" w:eastAsia="zh-CN"/>
              </w:rPr>
              <w:t>3</w:t>
            </w:r>
            <w:r>
              <w:rPr>
                <w:rFonts w:hint="eastAsia"/>
                <w:b/>
                <w:bCs/>
                <w:color w:val="auto"/>
              </w:rPr>
              <w:t>采购代理机构将依托电子交易平台发起开始解密指令，供应商的法定代表人或其委托代理人须</w:t>
            </w:r>
            <w:r>
              <w:rPr>
                <w:rFonts w:hint="eastAsia"/>
                <w:b/>
                <w:bCs/>
                <w:color w:val="auto"/>
                <w:lang w:val="en-US" w:eastAsia="zh-CN"/>
              </w:rPr>
              <w:t>用</w:t>
            </w:r>
            <w:r>
              <w:rPr>
                <w:rFonts w:hint="eastAsia"/>
                <w:b/>
                <w:bCs/>
                <w:color w:val="auto"/>
              </w:rPr>
              <w:t>加密时所用的CA锁按平台提示和采购文件的规定登录到“政采云”平台电子开标大厅签到并在发起解密指令之时起30分钟内完成对电</w:t>
            </w:r>
            <w:r>
              <w:rPr>
                <w:rFonts w:hint="eastAsia" w:ascii="Times New Roman" w:hAnsi="Times New Roman" w:eastAsia="宋体" w:cs="Times New Roman"/>
                <w:b/>
                <w:bCs/>
                <w:color w:val="auto"/>
              </w:rPr>
              <w:t>子</w:t>
            </w:r>
            <w:r>
              <w:rPr>
                <w:rFonts w:hint="eastAsia" w:ascii="Times New Roman" w:hAnsi="Times New Roman" w:eastAsia="宋体" w:cs="Times New Roman"/>
                <w:b/>
                <w:bCs/>
                <w:color w:val="auto"/>
                <w:lang w:val="en-US" w:eastAsia="zh-CN"/>
              </w:rPr>
              <w:t>投标文件在线解</w:t>
            </w:r>
            <w:r>
              <w:rPr>
                <w:rFonts w:hint="eastAsia" w:ascii="Times New Roman" w:hAnsi="Times New Roman" w:eastAsia="宋体" w:cs="Times New Roman"/>
                <w:b/>
                <w:bCs/>
                <w:color w:val="auto"/>
              </w:rPr>
              <w:t>密。</w:t>
            </w:r>
            <w:r>
              <w:rPr>
                <w:rFonts w:hint="eastAsia" w:ascii="Times New Roman" w:hAnsi="Times New Roman" w:eastAsia="宋体" w:cs="Times New Roman"/>
                <w:b/>
                <w:bCs/>
                <w:color w:val="auto"/>
                <w:lang w:val="en-US" w:eastAsia="zh-CN"/>
              </w:rPr>
              <w:t>投标</w:t>
            </w:r>
            <w:r>
              <w:rPr>
                <w:rFonts w:hint="eastAsia" w:ascii="Times New Roman" w:hAnsi="Times New Roman" w:eastAsia="宋体" w:cs="Times New Roman"/>
                <w:b/>
                <w:bCs/>
                <w:color w:val="auto"/>
              </w:rPr>
              <w:t>文件未按时解密的，视为</w:t>
            </w:r>
            <w:r>
              <w:rPr>
                <w:rFonts w:hint="eastAsia" w:ascii="Times New Roman" w:hAnsi="Times New Roman" w:eastAsia="宋体" w:cs="Times New Roman"/>
                <w:b/>
                <w:bCs/>
                <w:color w:val="auto"/>
                <w:lang w:val="en-US" w:eastAsia="zh-CN"/>
              </w:rPr>
              <w:t>投标</w:t>
            </w:r>
            <w:r>
              <w:rPr>
                <w:rFonts w:hint="eastAsia" w:ascii="Times New Roman" w:hAnsi="Times New Roman" w:eastAsia="宋体" w:cs="Times New Roman"/>
                <w:b/>
                <w:bCs/>
                <w:color w:val="auto"/>
              </w:rPr>
              <w:t>文件无效。</w:t>
            </w:r>
          </w:p>
        </w:tc>
      </w:tr>
      <w:tr w14:paraId="2781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10" w:type="dxa"/>
            <w:gridSpan w:val="4"/>
            <w:noWrap w:val="0"/>
            <w:vAlign w:val="center"/>
          </w:tcPr>
          <w:p w14:paraId="08539C77">
            <w:pPr>
              <w:rPr>
                <w:rFonts w:hint="eastAsia" w:ascii="Times New Roman" w:hAnsi="Times New Roman" w:eastAsia="宋体" w:cs="Times New Roman"/>
                <w:b/>
                <w:bCs/>
                <w:color w:val="auto"/>
                <w:kern w:val="2"/>
                <w:sz w:val="21"/>
                <w:szCs w:val="24"/>
                <w:lang w:val="en-US" w:eastAsia="zh-CN" w:bidi="ar-SA"/>
              </w:rPr>
            </w:pPr>
            <w:r>
              <w:rPr>
                <w:rFonts w:hint="eastAsia"/>
                <w:b/>
                <w:bCs/>
                <w:color w:val="auto"/>
                <w:lang w:val="en-US" w:eastAsia="zh-CN"/>
              </w:rPr>
              <w:t>4.采购招标文件中标“</w:t>
            </w:r>
            <w:r>
              <w:rPr>
                <w:rFonts w:hint="eastAsia" w:hAnsi="宋体"/>
                <w:color w:val="auto"/>
                <w:szCs w:val="21"/>
              </w:rPr>
              <w:t>★</w:t>
            </w:r>
            <w:r>
              <w:rPr>
                <w:rFonts w:hint="eastAsia"/>
                <w:b/>
                <w:bCs/>
                <w:color w:val="auto"/>
                <w:lang w:val="en-US" w:eastAsia="zh-CN"/>
              </w:rPr>
              <w:t>”的为实质性要求和条件。</w:t>
            </w:r>
          </w:p>
        </w:tc>
      </w:tr>
    </w:tbl>
    <w:p w14:paraId="0F8051BA">
      <w:pPr>
        <w:widowControl/>
        <w:jc w:val="center"/>
        <w:outlineLvl w:val="0"/>
        <w:rPr>
          <w:rFonts w:hint="eastAsia" w:ascii="宋体" w:hAnsi="宋体" w:cs="宋体"/>
          <w:b/>
          <w:color w:val="auto"/>
          <w:kern w:val="0"/>
          <w:sz w:val="32"/>
          <w:szCs w:val="32"/>
        </w:rPr>
      </w:pPr>
    </w:p>
    <w:p w14:paraId="36A68096">
      <w:pPr>
        <w:widowControl/>
        <w:jc w:val="center"/>
        <w:outlineLvl w:val="0"/>
        <w:rPr>
          <w:rFonts w:hint="eastAsia" w:ascii="宋体" w:hAnsi="宋体" w:cs="宋体"/>
          <w:b/>
          <w:color w:val="auto"/>
          <w:kern w:val="0"/>
          <w:sz w:val="32"/>
          <w:szCs w:val="32"/>
        </w:rPr>
      </w:pPr>
    </w:p>
    <w:p w14:paraId="6B64C44D">
      <w:pPr>
        <w:widowControl/>
        <w:jc w:val="center"/>
        <w:outlineLvl w:val="0"/>
        <w:rPr>
          <w:rFonts w:hint="eastAsia" w:ascii="宋体" w:hAnsi="宋体" w:cs="宋体"/>
          <w:b/>
          <w:color w:val="auto"/>
          <w:kern w:val="0"/>
          <w:sz w:val="32"/>
          <w:szCs w:val="32"/>
        </w:rPr>
      </w:pPr>
    </w:p>
    <w:p w14:paraId="3E0336D9">
      <w:pPr>
        <w:widowControl/>
        <w:jc w:val="center"/>
        <w:outlineLvl w:val="0"/>
        <w:rPr>
          <w:rFonts w:hint="eastAsia" w:ascii="宋体" w:hAnsi="宋体" w:cs="宋体"/>
          <w:b/>
          <w:color w:val="auto"/>
          <w:kern w:val="0"/>
          <w:sz w:val="32"/>
          <w:szCs w:val="32"/>
        </w:rPr>
      </w:pPr>
    </w:p>
    <w:p w14:paraId="00BC764E">
      <w:pPr>
        <w:widowControl/>
        <w:jc w:val="center"/>
        <w:outlineLvl w:val="0"/>
        <w:rPr>
          <w:rFonts w:ascii="宋体" w:hAnsi="宋体" w:cs="宋体"/>
          <w:color w:val="auto"/>
          <w:kern w:val="0"/>
          <w:sz w:val="32"/>
          <w:szCs w:val="32"/>
        </w:rPr>
      </w:pPr>
      <w:r>
        <w:rPr>
          <w:rFonts w:hint="eastAsia" w:ascii="宋体" w:hAnsi="宋体" w:cs="宋体"/>
          <w:b/>
          <w:color w:val="auto"/>
          <w:kern w:val="0"/>
          <w:sz w:val="32"/>
          <w:szCs w:val="32"/>
        </w:rPr>
        <w:t>投标供应商须知</w:t>
      </w:r>
      <w:bookmarkEnd w:id="9"/>
    </w:p>
    <w:p w14:paraId="1B43285D">
      <w:pPr>
        <w:pStyle w:val="3"/>
        <w:spacing w:before="0" w:after="0" w:line="360" w:lineRule="auto"/>
        <w:ind w:firstLine="482" w:firstLineChars="200"/>
        <w:rPr>
          <w:rFonts w:ascii="宋体" w:hAnsi="宋体" w:cs="宋体"/>
          <w:color w:val="auto"/>
          <w:sz w:val="24"/>
          <w:szCs w:val="24"/>
        </w:rPr>
      </w:pPr>
      <w:bookmarkStart w:id="10" w:name="_Toc695"/>
      <w:bookmarkStart w:id="11" w:name="_Toc10310"/>
      <w:bookmarkStart w:id="12" w:name="_Toc187226617"/>
      <w:bookmarkStart w:id="13" w:name="_Toc3358"/>
      <w:r>
        <w:rPr>
          <w:rFonts w:hint="eastAsia" w:ascii="宋体" w:hAnsi="宋体" w:cs="宋体"/>
          <w:color w:val="auto"/>
          <w:sz w:val="24"/>
          <w:szCs w:val="24"/>
        </w:rPr>
        <w:t>1. 总则</w:t>
      </w:r>
      <w:bookmarkEnd w:id="10"/>
      <w:bookmarkEnd w:id="11"/>
      <w:bookmarkEnd w:id="12"/>
      <w:bookmarkEnd w:id="13"/>
      <w:r>
        <w:rPr>
          <w:rFonts w:hint="eastAsia" w:ascii="宋体" w:hAnsi="宋体" w:cs="宋体"/>
          <w:color w:val="auto"/>
          <w:sz w:val="24"/>
          <w:szCs w:val="24"/>
        </w:rPr>
        <w:t xml:space="preserve"> </w:t>
      </w:r>
    </w:p>
    <w:p w14:paraId="6B5E8304">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1.1 项目概况 </w:t>
      </w:r>
    </w:p>
    <w:p w14:paraId="2F8DFB28">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1.1.1 根据《中华人民共和国政府采购法》等有关法律、法规和规章的规定，本采购项目已具备采购条件，现对本项目以公开招标的方式进行采购。 </w:t>
      </w:r>
    </w:p>
    <w:p w14:paraId="2A303877">
      <w:pPr>
        <w:spacing w:line="360" w:lineRule="auto"/>
        <w:ind w:firstLine="480" w:firstLineChars="200"/>
        <w:rPr>
          <w:rFonts w:ascii="宋体" w:hAnsi="宋体" w:cs="宋体"/>
          <w:color w:val="auto"/>
          <w:sz w:val="24"/>
        </w:rPr>
      </w:pPr>
      <w:r>
        <w:rPr>
          <w:rFonts w:hint="eastAsia" w:ascii="宋体" w:hAnsi="宋体" w:cs="宋体"/>
          <w:color w:val="auto"/>
          <w:sz w:val="24"/>
        </w:rPr>
        <w:t>1.1.2 本</w:t>
      </w:r>
      <w:bookmarkStart w:id="14" w:name="_Hlk493779507"/>
      <w:r>
        <w:rPr>
          <w:rFonts w:hint="eastAsia" w:ascii="宋体" w:hAnsi="宋体" w:cs="宋体"/>
          <w:color w:val="auto"/>
          <w:sz w:val="24"/>
        </w:rPr>
        <w:t>项目</w:t>
      </w:r>
      <w:bookmarkEnd w:id="14"/>
      <w:r>
        <w:rPr>
          <w:rFonts w:hint="eastAsia" w:ascii="宋体" w:hAnsi="宋体" w:cs="宋体"/>
          <w:color w:val="auto"/>
          <w:sz w:val="24"/>
        </w:rPr>
        <w:t xml:space="preserve">采购人：见供应商须知前附表。 </w:t>
      </w:r>
    </w:p>
    <w:p w14:paraId="6392D516">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1.1.3 本项目采购代理机构：见供应商须知前附表。 </w:t>
      </w:r>
    </w:p>
    <w:p w14:paraId="35927DCE">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1.1.4 本次采购项目名称：见供应商须知前附表。 </w:t>
      </w:r>
    </w:p>
    <w:p w14:paraId="67D99A5C">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1.2 资金来源和落实情况 </w:t>
      </w:r>
    </w:p>
    <w:p w14:paraId="3E9E434F">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1.2.1 本项目的资金来源：见供应商须知前附表。 </w:t>
      </w:r>
    </w:p>
    <w:p w14:paraId="44274E76">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1.2.2 本项目的出资比例：见供应商须知前附表。 </w:t>
      </w:r>
    </w:p>
    <w:p w14:paraId="35F61B7A">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1.2.3 本项目的资金落实情况：见供应商须知前附表。 </w:t>
      </w:r>
    </w:p>
    <w:p w14:paraId="046F20C4">
      <w:pPr>
        <w:spacing w:line="360" w:lineRule="auto"/>
        <w:ind w:firstLine="480" w:firstLineChars="200"/>
        <w:rPr>
          <w:rFonts w:ascii="宋体" w:hAnsi="宋体" w:cs="宋体"/>
          <w:color w:val="auto"/>
          <w:sz w:val="24"/>
        </w:rPr>
      </w:pPr>
      <w:r>
        <w:rPr>
          <w:rFonts w:hint="eastAsia" w:ascii="宋体" w:hAnsi="宋体" w:cs="宋体"/>
          <w:color w:val="auto"/>
          <w:sz w:val="24"/>
        </w:rPr>
        <w:t>1.3 采购内容、</w:t>
      </w:r>
      <w:r>
        <w:rPr>
          <w:rFonts w:hint="eastAsia" w:ascii="宋体" w:hAnsi="宋体" w:cs="宋体"/>
          <w:color w:val="auto"/>
          <w:sz w:val="24"/>
          <w:lang w:val="en-US" w:eastAsia="zh-CN"/>
        </w:rPr>
        <w:t>供货时间</w:t>
      </w:r>
      <w:r>
        <w:rPr>
          <w:rFonts w:hint="eastAsia" w:ascii="宋体" w:hAnsi="宋体" w:cs="宋体"/>
          <w:color w:val="auto"/>
          <w:sz w:val="24"/>
        </w:rPr>
        <w:t>、</w:t>
      </w:r>
      <w:r>
        <w:rPr>
          <w:rFonts w:hint="eastAsia" w:ascii="宋体" w:hAnsi="宋体" w:cs="宋体"/>
          <w:color w:val="auto"/>
          <w:sz w:val="24"/>
          <w:lang w:val="en-US" w:eastAsia="zh-CN"/>
        </w:rPr>
        <w:t>交货</w:t>
      </w:r>
      <w:r>
        <w:rPr>
          <w:rFonts w:hint="eastAsia" w:ascii="宋体" w:hAnsi="宋体" w:cs="宋体"/>
          <w:color w:val="auto"/>
          <w:sz w:val="24"/>
        </w:rPr>
        <w:t xml:space="preserve">地点 </w:t>
      </w:r>
    </w:p>
    <w:p w14:paraId="1A9A03ED">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1.3.1 本次采购内容：见供应商须知前附表。 </w:t>
      </w:r>
    </w:p>
    <w:p w14:paraId="53CB00B5">
      <w:pPr>
        <w:spacing w:line="360" w:lineRule="auto"/>
        <w:ind w:firstLine="480" w:firstLineChars="200"/>
        <w:rPr>
          <w:rFonts w:ascii="宋体" w:hAnsi="宋体" w:cs="宋体"/>
          <w:color w:val="auto"/>
          <w:sz w:val="24"/>
        </w:rPr>
      </w:pPr>
      <w:r>
        <w:rPr>
          <w:rFonts w:hint="eastAsia" w:ascii="宋体" w:hAnsi="宋体" w:cs="宋体"/>
          <w:color w:val="auto"/>
          <w:sz w:val="24"/>
        </w:rPr>
        <w:t>1.3.2 本次采购项目的</w:t>
      </w:r>
      <w:r>
        <w:rPr>
          <w:rFonts w:hint="eastAsia" w:ascii="宋体" w:hAnsi="宋体" w:cs="宋体"/>
          <w:color w:val="auto"/>
          <w:sz w:val="24"/>
          <w:lang w:val="en-US" w:eastAsia="zh-CN"/>
        </w:rPr>
        <w:t>供货时间</w:t>
      </w:r>
      <w:r>
        <w:rPr>
          <w:rFonts w:hint="eastAsia" w:ascii="宋体" w:hAnsi="宋体" w:cs="宋体"/>
          <w:color w:val="auto"/>
          <w:sz w:val="24"/>
        </w:rPr>
        <w:t xml:space="preserve">：见供应商须知前附表。 </w:t>
      </w:r>
    </w:p>
    <w:p w14:paraId="7E82A496">
      <w:pPr>
        <w:spacing w:line="360" w:lineRule="auto"/>
        <w:ind w:firstLine="480" w:firstLineChars="200"/>
        <w:rPr>
          <w:rFonts w:ascii="宋体" w:hAnsi="宋体" w:cs="宋体"/>
          <w:color w:val="auto"/>
          <w:sz w:val="24"/>
        </w:rPr>
      </w:pPr>
      <w:r>
        <w:rPr>
          <w:rFonts w:hint="eastAsia" w:ascii="宋体" w:hAnsi="宋体" w:cs="宋体"/>
          <w:color w:val="auto"/>
          <w:sz w:val="24"/>
        </w:rPr>
        <w:t>1.3.3 本次采购项目的</w:t>
      </w:r>
      <w:r>
        <w:rPr>
          <w:rFonts w:hint="eastAsia" w:ascii="宋体" w:hAnsi="宋体" w:cs="宋体"/>
          <w:color w:val="auto"/>
          <w:sz w:val="24"/>
          <w:lang w:val="en-US" w:eastAsia="zh-CN"/>
        </w:rPr>
        <w:t>交货</w:t>
      </w:r>
      <w:r>
        <w:rPr>
          <w:rFonts w:hint="eastAsia" w:ascii="宋体" w:hAnsi="宋体" w:cs="宋体"/>
          <w:color w:val="auto"/>
          <w:sz w:val="24"/>
        </w:rPr>
        <w:t>地点：见供应商须知前附表。</w:t>
      </w:r>
    </w:p>
    <w:p w14:paraId="584D4E8C">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1.4 供应商资格要求 </w:t>
      </w:r>
    </w:p>
    <w:p w14:paraId="0D09C032">
      <w:pPr>
        <w:spacing w:line="360" w:lineRule="auto"/>
        <w:ind w:firstLine="480" w:firstLineChars="200"/>
        <w:rPr>
          <w:rFonts w:ascii="宋体" w:hAnsi="宋体" w:cs="宋体"/>
          <w:color w:val="auto"/>
          <w:sz w:val="24"/>
        </w:rPr>
      </w:pPr>
      <w:r>
        <w:rPr>
          <w:rFonts w:hint="eastAsia" w:ascii="宋体" w:hAnsi="宋体" w:cs="宋体"/>
          <w:color w:val="auto"/>
          <w:sz w:val="24"/>
        </w:rPr>
        <w:t>1.4.1 供应商应具备履行本项目合同的资格条件。</w:t>
      </w:r>
    </w:p>
    <w:p w14:paraId="38CD513B">
      <w:pPr>
        <w:spacing w:line="360" w:lineRule="auto"/>
        <w:ind w:firstLine="480" w:firstLineChars="200"/>
        <w:rPr>
          <w:rFonts w:ascii="宋体" w:hAnsi="宋体" w:cs="宋体"/>
          <w:color w:val="auto"/>
          <w:sz w:val="24"/>
        </w:rPr>
      </w:pPr>
      <w:r>
        <w:rPr>
          <w:rFonts w:hint="eastAsia" w:ascii="宋体" w:hAnsi="宋体" w:cs="宋体"/>
          <w:color w:val="auto"/>
          <w:sz w:val="24"/>
        </w:rPr>
        <w:t>（1）满足《中华人民共和国政府采购法》第二十二条规定；</w:t>
      </w:r>
    </w:p>
    <w:p w14:paraId="3C3F44A0">
      <w:pPr>
        <w:spacing w:line="360" w:lineRule="auto"/>
        <w:ind w:firstLine="480" w:firstLineChars="200"/>
        <w:rPr>
          <w:rFonts w:ascii="宋体" w:hAnsi="宋体" w:cs="宋体"/>
          <w:color w:val="auto"/>
          <w:sz w:val="24"/>
        </w:rPr>
      </w:pPr>
      <w:r>
        <w:rPr>
          <w:rFonts w:hint="eastAsia" w:ascii="宋体" w:hAnsi="宋体" w:cs="宋体"/>
          <w:color w:val="auto"/>
          <w:sz w:val="24"/>
        </w:rPr>
        <w:t>（2）落实政府采购政策需满足的资格要求：见供应商须知前附表。</w:t>
      </w:r>
    </w:p>
    <w:p w14:paraId="0330A4BF">
      <w:pPr>
        <w:spacing w:line="360" w:lineRule="auto"/>
        <w:ind w:firstLine="480" w:firstLineChars="200"/>
        <w:rPr>
          <w:rFonts w:ascii="宋体" w:hAnsi="宋体" w:cs="宋体"/>
          <w:color w:val="auto"/>
          <w:sz w:val="24"/>
        </w:rPr>
      </w:pPr>
      <w:r>
        <w:rPr>
          <w:rFonts w:hint="eastAsia" w:ascii="宋体" w:hAnsi="宋体" w:cs="宋体"/>
          <w:color w:val="auto"/>
          <w:sz w:val="24"/>
        </w:rPr>
        <w:t>（3）本项目的特定资格要求：见供应商须知前附表。</w:t>
      </w:r>
    </w:p>
    <w:p w14:paraId="5D26ACAA">
      <w:pPr>
        <w:spacing w:line="360" w:lineRule="auto"/>
        <w:ind w:firstLine="480" w:firstLineChars="200"/>
        <w:rPr>
          <w:rFonts w:ascii="宋体" w:hAnsi="宋体" w:cs="宋体"/>
          <w:color w:val="auto"/>
          <w:sz w:val="24"/>
        </w:rPr>
      </w:pPr>
      <w:r>
        <w:rPr>
          <w:rFonts w:hint="eastAsia" w:ascii="宋体" w:hAnsi="宋体" w:cs="宋体"/>
          <w:color w:val="auto"/>
          <w:sz w:val="24"/>
        </w:rPr>
        <w:t>1.4.2 供应商须知前附表规定接受联合体的</w:t>
      </w:r>
      <w:r>
        <w:rPr>
          <w:rFonts w:hint="eastAsia" w:ascii="宋体" w:hAnsi="宋体" w:cs="宋体"/>
          <w:b/>
          <w:bCs/>
          <w:color w:val="auto"/>
          <w:sz w:val="24"/>
          <w:lang w:eastAsia="zh-CN"/>
        </w:rPr>
        <w:t>（</w:t>
      </w:r>
      <w:r>
        <w:rPr>
          <w:rFonts w:hint="eastAsia" w:ascii="宋体" w:hAnsi="宋体" w:cs="宋体"/>
          <w:b/>
          <w:bCs/>
          <w:color w:val="auto"/>
          <w:sz w:val="24"/>
          <w:lang w:val="en-US" w:eastAsia="zh-CN"/>
        </w:rPr>
        <w:t>注：本项目不接受联合体投标</w:t>
      </w:r>
      <w:r>
        <w:rPr>
          <w:rFonts w:hint="eastAsia" w:ascii="宋体" w:hAnsi="宋体" w:cs="宋体"/>
          <w:b/>
          <w:bCs/>
          <w:color w:val="auto"/>
          <w:sz w:val="24"/>
          <w:lang w:eastAsia="zh-CN"/>
        </w:rPr>
        <w:t>）</w:t>
      </w:r>
      <w:r>
        <w:rPr>
          <w:rFonts w:hint="eastAsia" w:ascii="宋体" w:hAnsi="宋体" w:cs="宋体"/>
          <w:color w:val="auto"/>
          <w:sz w:val="24"/>
        </w:rPr>
        <w:t>，除应符合本章第1.4.1项和供应商须知前附表的要求外，还应遵守以下规定：</w:t>
      </w:r>
    </w:p>
    <w:p w14:paraId="072EA869">
      <w:pPr>
        <w:spacing w:line="360" w:lineRule="auto"/>
        <w:ind w:firstLine="480" w:firstLineChars="200"/>
        <w:rPr>
          <w:rFonts w:ascii="宋体" w:hAnsi="宋体" w:cs="宋体"/>
          <w:color w:val="auto"/>
          <w:sz w:val="24"/>
        </w:rPr>
      </w:pPr>
      <w:r>
        <w:rPr>
          <w:rFonts w:hint="eastAsia" w:ascii="宋体" w:hAnsi="宋体" w:cs="宋体"/>
          <w:color w:val="auto"/>
          <w:sz w:val="24"/>
        </w:rPr>
        <w:t>（1）联合体各方应按采购招标文件提供的格式签订联合体协议书，明确联合体牵头人和各方权利义务；</w:t>
      </w:r>
    </w:p>
    <w:p w14:paraId="36D3F5A7">
      <w:pPr>
        <w:spacing w:line="360" w:lineRule="auto"/>
        <w:ind w:firstLine="480" w:firstLineChars="200"/>
        <w:rPr>
          <w:rFonts w:ascii="宋体" w:hAnsi="宋体" w:cs="宋体"/>
          <w:color w:val="auto"/>
          <w:sz w:val="24"/>
        </w:rPr>
      </w:pPr>
      <w:r>
        <w:rPr>
          <w:rFonts w:hint="eastAsia" w:ascii="宋体" w:hAnsi="宋体" w:cs="宋体"/>
          <w:color w:val="auto"/>
          <w:sz w:val="24"/>
        </w:rPr>
        <w:t>（2）联合体中有同类资质的供应商按照联合体分工承担相同工作的，应当按照资质等级较低的供应商确定资质等级。</w:t>
      </w:r>
    </w:p>
    <w:p w14:paraId="069D360F">
      <w:pPr>
        <w:spacing w:line="360" w:lineRule="auto"/>
        <w:ind w:firstLine="480" w:firstLineChars="200"/>
        <w:rPr>
          <w:rFonts w:ascii="宋体" w:hAnsi="宋体" w:cs="宋体"/>
          <w:color w:val="auto"/>
          <w:sz w:val="24"/>
        </w:rPr>
      </w:pPr>
      <w:r>
        <w:rPr>
          <w:rFonts w:hint="eastAsia" w:ascii="宋体" w:hAnsi="宋体" w:cs="宋体"/>
          <w:color w:val="auto"/>
          <w:sz w:val="24"/>
        </w:rPr>
        <w:t>（3）以联合体形式参加本次政府采购活动的，联合体各方不得再单独参加或者与其他供应商另外组成联合体参加本次政府采购活动。</w:t>
      </w:r>
    </w:p>
    <w:p w14:paraId="214A673F">
      <w:pPr>
        <w:spacing w:line="360" w:lineRule="auto"/>
        <w:ind w:firstLine="480" w:firstLineChars="200"/>
        <w:rPr>
          <w:rFonts w:ascii="宋体" w:hAnsi="宋体" w:cs="宋体"/>
          <w:color w:val="auto"/>
          <w:sz w:val="24"/>
        </w:rPr>
      </w:pPr>
      <w:r>
        <w:rPr>
          <w:rFonts w:hint="eastAsia" w:ascii="宋体" w:hAnsi="宋体" w:cs="宋体"/>
          <w:color w:val="auto"/>
          <w:sz w:val="24"/>
        </w:rPr>
        <w:t>1.4.3 供应商不得存在下列情形之一：</w:t>
      </w:r>
    </w:p>
    <w:p w14:paraId="074945D7">
      <w:pPr>
        <w:spacing w:line="360" w:lineRule="auto"/>
        <w:ind w:firstLine="480" w:firstLineChars="200"/>
        <w:rPr>
          <w:rFonts w:ascii="宋体" w:hAnsi="宋体" w:cs="宋体"/>
          <w:color w:val="auto"/>
          <w:sz w:val="24"/>
        </w:rPr>
      </w:pPr>
      <w:r>
        <w:rPr>
          <w:rFonts w:hint="eastAsia" w:ascii="宋体" w:hAnsi="宋体" w:cs="宋体"/>
          <w:color w:val="auto"/>
          <w:sz w:val="24"/>
        </w:rPr>
        <w:t>（1）单位负责人为同一人或者存在直接控股、管理关系的不同供应商，不得参加本次政府采购活动。</w:t>
      </w:r>
    </w:p>
    <w:p w14:paraId="7ACF7CED">
      <w:pPr>
        <w:spacing w:line="360" w:lineRule="auto"/>
        <w:ind w:firstLine="480" w:firstLineChars="200"/>
        <w:rPr>
          <w:rFonts w:ascii="宋体" w:hAnsi="宋体" w:cs="宋体"/>
          <w:color w:val="auto"/>
          <w:sz w:val="24"/>
        </w:rPr>
      </w:pPr>
      <w:r>
        <w:rPr>
          <w:rFonts w:hint="eastAsia" w:ascii="宋体" w:hAnsi="宋体" w:cs="宋体"/>
          <w:color w:val="auto"/>
          <w:sz w:val="24"/>
        </w:rPr>
        <w:t>（2）为本项目提供整体设计、规范编制或者项目管理、监理、检测等服务的供应商，不得再参加本次采购活动。</w:t>
      </w:r>
    </w:p>
    <w:p w14:paraId="76483EC0">
      <w:pPr>
        <w:spacing w:line="360" w:lineRule="auto"/>
        <w:ind w:firstLine="480" w:firstLineChars="200"/>
        <w:rPr>
          <w:rFonts w:ascii="宋体" w:hAnsi="宋体" w:cs="宋体"/>
          <w:color w:val="auto"/>
          <w:sz w:val="24"/>
        </w:rPr>
      </w:pPr>
      <w:r>
        <w:rPr>
          <w:rFonts w:hint="eastAsia" w:ascii="宋体" w:hAnsi="宋体" w:cs="宋体"/>
          <w:color w:val="auto"/>
          <w:sz w:val="24"/>
        </w:rPr>
        <w:t>（3）在本次政府采购活动前3年内因违法经营被禁止在一定期限内参加政府采购活动，期限未满的，不得参加本次政府采购活动；</w:t>
      </w:r>
    </w:p>
    <w:p w14:paraId="4F5AB2DD">
      <w:pPr>
        <w:spacing w:line="360" w:lineRule="auto"/>
        <w:ind w:firstLine="480" w:firstLineChars="200"/>
        <w:rPr>
          <w:rFonts w:ascii="宋体" w:hAnsi="宋体" w:cs="宋体"/>
          <w:color w:val="auto"/>
          <w:sz w:val="24"/>
        </w:rPr>
      </w:pPr>
      <w:r>
        <w:rPr>
          <w:rFonts w:hint="eastAsia" w:ascii="宋体" w:hAnsi="宋体" w:cs="宋体"/>
          <w:color w:val="auto"/>
          <w:sz w:val="24"/>
        </w:rPr>
        <w:t>1.5 费用承担</w:t>
      </w:r>
    </w:p>
    <w:p w14:paraId="47835628">
      <w:pPr>
        <w:spacing w:line="360" w:lineRule="auto"/>
        <w:ind w:firstLine="480" w:firstLineChars="200"/>
        <w:rPr>
          <w:rFonts w:ascii="宋体" w:hAnsi="宋体" w:cs="宋体"/>
          <w:color w:val="auto"/>
          <w:sz w:val="24"/>
        </w:rPr>
      </w:pPr>
      <w:r>
        <w:rPr>
          <w:rFonts w:hint="eastAsia" w:ascii="宋体" w:hAnsi="宋体" w:cs="宋体"/>
          <w:color w:val="auto"/>
          <w:sz w:val="24"/>
        </w:rPr>
        <w:t>供应商准备和参加投标活动发生的费用自理。</w:t>
      </w:r>
    </w:p>
    <w:p w14:paraId="316DC5D0">
      <w:pPr>
        <w:spacing w:line="360" w:lineRule="auto"/>
        <w:ind w:firstLine="480" w:firstLineChars="200"/>
        <w:rPr>
          <w:rFonts w:ascii="宋体" w:hAnsi="宋体" w:cs="宋体"/>
          <w:color w:val="auto"/>
          <w:sz w:val="24"/>
        </w:rPr>
      </w:pPr>
      <w:r>
        <w:rPr>
          <w:rFonts w:hint="eastAsia" w:ascii="宋体" w:hAnsi="宋体" w:cs="宋体"/>
          <w:color w:val="auto"/>
          <w:sz w:val="24"/>
        </w:rPr>
        <w:t>1.6 保密</w:t>
      </w:r>
    </w:p>
    <w:p w14:paraId="28E21482">
      <w:pPr>
        <w:spacing w:line="360" w:lineRule="auto"/>
        <w:ind w:firstLine="480" w:firstLineChars="200"/>
        <w:rPr>
          <w:rFonts w:ascii="宋体" w:hAnsi="宋体" w:cs="宋体"/>
          <w:color w:val="auto"/>
          <w:sz w:val="24"/>
        </w:rPr>
      </w:pPr>
      <w:r>
        <w:rPr>
          <w:rFonts w:hint="eastAsia" w:ascii="宋体" w:hAnsi="宋体" w:cs="宋体"/>
          <w:color w:val="auto"/>
          <w:sz w:val="24"/>
        </w:rPr>
        <w:t>参与采购投标活动的各方应对采购招标文件和投标文件中的商业和技术等秘密保密，违者应对由此造成的后果承担法律责任。</w:t>
      </w:r>
    </w:p>
    <w:p w14:paraId="5932D174">
      <w:pPr>
        <w:spacing w:line="360" w:lineRule="auto"/>
        <w:ind w:firstLine="480" w:firstLineChars="200"/>
        <w:rPr>
          <w:rFonts w:ascii="宋体" w:hAnsi="宋体" w:cs="宋体"/>
          <w:color w:val="auto"/>
          <w:sz w:val="24"/>
        </w:rPr>
      </w:pPr>
      <w:r>
        <w:rPr>
          <w:rFonts w:hint="eastAsia" w:ascii="宋体" w:hAnsi="宋体" w:cs="宋体"/>
          <w:color w:val="auto"/>
          <w:sz w:val="24"/>
        </w:rPr>
        <w:t>1.7 语言文字</w:t>
      </w:r>
    </w:p>
    <w:p w14:paraId="55D251EA">
      <w:pPr>
        <w:spacing w:line="360" w:lineRule="auto"/>
        <w:ind w:firstLine="480" w:firstLineChars="200"/>
        <w:rPr>
          <w:rFonts w:ascii="宋体" w:hAnsi="宋体" w:cs="宋体"/>
          <w:color w:val="auto"/>
          <w:sz w:val="24"/>
        </w:rPr>
      </w:pPr>
      <w:r>
        <w:rPr>
          <w:rFonts w:hint="eastAsia" w:ascii="宋体" w:hAnsi="宋体" w:cs="宋体"/>
          <w:color w:val="auto"/>
          <w:sz w:val="24"/>
        </w:rPr>
        <w:t xml:space="preserve">除专用术语外，与采购投标有关的语言均使用中文。必要时专用术语应附有中文注释。 </w:t>
      </w:r>
    </w:p>
    <w:p w14:paraId="3851DCB0">
      <w:pPr>
        <w:spacing w:line="360" w:lineRule="auto"/>
        <w:ind w:firstLine="480" w:firstLineChars="200"/>
        <w:rPr>
          <w:rFonts w:ascii="宋体" w:hAnsi="宋体" w:cs="宋体"/>
          <w:color w:val="auto"/>
          <w:sz w:val="24"/>
        </w:rPr>
      </w:pPr>
      <w:r>
        <w:rPr>
          <w:rFonts w:hint="eastAsia" w:ascii="宋体" w:hAnsi="宋体" w:cs="宋体"/>
          <w:color w:val="auto"/>
          <w:sz w:val="24"/>
        </w:rPr>
        <w:t>1.8 计量单位</w:t>
      </w:r>
    </w:p>
    <w:p w14:paraId="5CE34152">
      <w:pPr>
        <w:spacing w:line="360" w:lineRule="auto"/>
        <w:ind w:firstLine="480" w:firstLineChars="200"/>
        <w:rPr>
          <w:rFonts w:ascii="宋体" w:hAnsi="宋体" w:cs="宋体"/>
          <w:color w:val="auto"/>
          <w:sz w:val="24"/>
        </w:rPr>
      </w:pPr>
      <w:r>
        <w:rPr>
          <w:rFonts w:hint="eastAsia" w:ascii="宋体" w:hAnsi="宋体" w:cs="宋体"/>
          <w:color w:val="auto"/>
          <w:sz w:val="24"/>
        </w:rPr>
        <w:t xml:space="preserve">所有计量均采用中华人民共和国法定计量单位。 </w:t>
      </w:r>
    </w:p>
    <w:p w14:paraId="4241CCF7">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1.9 踏勘现场 </w:t>
      </w:r>
    </w:p>
    <w:p w14:paraId="6C74CA11">
      <w:pPr>
        <w:spacing w:line="360" w:lineRule="auto"/>
        <w:ind w:firstLine="480" w:firstLineChars="200"/>
        <w:rPr>
          <w:rFonts w:ascii="宋体" w:hAnsi="宋体" w:cs="宋体"/>
          <w:color w:val="auto"/>
          <w:sz w:val="24"/>
        </w:rPr>
      </w:pPr>
      <w:r>
        <w:rPr>
          <w:rFonts w:hint="eastAsia" w:ascii="宋体" w:hAnsi="宋体" w:cs="宋体"/>
          <w:color w:val="auto"/>
          <w:sz w:val="24"/>
        </w:rPr>
        <w:t>1.9.1 不组织，供应商自行踏勘，除采购人另行通知，供应商自行按采购招标文件规定的地点踏勘。</w:t>
      </w:r>
    </w:p>
    <w:p w14:paraId="5909D2A3">
      <w:pPr>
        <w:spacing w:line="360" w:lineRule="auto"/>
        <w:ind w:firstLine="480" w:firstLineChars="200"/>
        <w:rPr>
          <w:rFonts w:ascii="宋体" w:hAnsi="宋体" w:cs="宋体"/>
          <w:color w:val="auto"/>
          <w:sz w:val="24"/>
        </w:rPr>
      </w:pPr>
      <w:r>
        <w:rPr>
          <w:rFonts w:hint="eastAsia" w:ascii="宋体" w:hAnsi="宋体" w:cs="宋体"/>
          <w:color w:val="auto"/>
          <w:sz w:val="24"/>
        </w:rPr>
        <w:t>1.1</w:t>
      </w:r>
      <w:r>
        <w:rPr>
          <w:rFonts w:hint="eastAsia" w:ascii="宋体" w:hAnsi="宋体" w:cs="宋体"/>
          <w:color w:val="auto"/>
          <w:sz w:val="24"/>
          <w:lang w:val="en-US" w:eastAsia="zh-CN"/>
        </w:rPr>
        <w:t>0</w:t>
      </w:r>
      <w:r>
        <w:rPr>
          <w:rFonts w:hint="eastAsia" w:ascii="宋体" w:hAnsi="宋体" w:cs="宋体"/>
          <w:color w:val="auto"/>
          <w:sz w:val="24"/>
        </w:rPr>
        <w:t xml:space="preserve"> 偏离</w:t>
      </w:r>
    </w:p>
    <w:p w14:paraId="154D3475">
      <w:pPr>
        <w:spacing w:line="360" w:lineRule="auto"/>
        <w:ind w:firstLine="480" w:firstLineChars="200"/>
        <w:rPr>
          <w:rFonts w:ascii="宋体" w:hAnsi="宋体" w:cs="宋体"/>
          <w:color w:val="auto"/>
          <w:sz w:val="24"/>
        </w:rPr>
      </w:pPr>
      <w:r>
        <w:rPr>
          <w:rFonts w:hint="eastAsia" w:ascii="宋体" w:hAnsi="宋体" w:cs="宋体"/>
          <w:color w:val="auto"/>
          <w:sz w:val="24"/>
        </w:rPr>
        <w:t xml:space="preserve">供应商须知前附表允许投标文件偏离采购招标文件某些要求的，偏离应当符合采购招标文件规定的偏离范围和幅度。 </w:t>
      </w:r>
    </w:p>
    <w:p w14:paraId="2697CBCD">
      <w:pPr>
        <w:pStyle w:val="3"/>
        <w:spacing w:before="0" w:after="0" w:line="360" w:lineRule="auto"/>
        <w:ind w:firstLine="482" w:firstLineChars="200"/>
        <w:rPr>
          <w:rFonts w:ascii="宋体" w:hAnsi="宋体" w:cs="宋体"/>
          <w:color w:val="auto"/>
          <w:sz w:val="24"/>
          <w:szCs w:val="24"/>
        </w:rPr>
      </w:pPr>
      <w:bookmarkStart w:id="15" w:name="_Toc187226618"/>
      <w:bookmarkStart w:id="16" w:name="_Toc22915"/>
      <w:bookmarkStart w:id="17" w:name="_Toc25118"/>
      <w:bookmarkStart w:id="18" w:name="_Toc4809"/>
      <w:r>
        <w:rPr>
          <w:rFonts w:hint="eastAsia" w:ascii="宋体" w:hAnsi="宋体" w:cs="宋体"/>
          <w:color w:val="auto"/>
          <w:sz w:val="24"/>
          <w:szCs w:val="24"/>
        </w:rPr>
        <w:t xml:space="preserve">2. </w:t>
      </w:r>
      <w:bookmarkEnd w:id="15"/>
      <w:bookmarkEnd w:id="16"/>
      <w:bookmarkEnd w:id="17"/>
      <w:r>
        <w:rPr>
          <w:rFonts w:hint="eastAsia" w:ascii="宋体" w:hAnsi="宋体" w:cs="宋体"/>
          <w:color w:val="auto"/>
          <w:sz w:val="24"/>
          <w:szCs w:val="24"/>
        </w:rPr>
        <w:t>采购招标文件</w:t>
      </w:r>
      <w:bookmarkEnd w:id="18"/>
      <w:r>
        <w:rPr>
          <w:rFonts w:hint="eastAsia" w:ascii="宋体" w:hAnsi="宋体" w:cs="宋体"/>
          <w:color w:val="auto"/>
          <w:sz w:val="24"/>
          <w:szCs w:val="24"/>
        </w:rPr>
        <w:t xml:space="preserve"> </w:t>
      </w:r>
    </w:p>
    <w:p w14:paraId="0BA65291">
      <w:pPr>
        <w:spacing w:line="360" w:lineRule="auto"/>
        <w:ind w:firstLine="480" w:firstLineChars="200"/>
        <w:rPr>
          <w:rFonts w:ascii="宋体" w:hAnsi="宋体" w:cs="宋体"/>
          <w:color w:val="auto"/>
          <w:sz w:val="24"/>
        </w:rPr>
      </w:pPr>
      <w:r>
        <w:rPr>
          <w:rFonts w:hint="eastAsia" w:ascii="宋体" w:hAnsi="宋体" w:cs="宋体"/>
          <w:color w:val="auto"/>
          <w:sz w:val="24"/>
        </w:rPr>
        <w:t>2.1 采购招标文件的组成</w:t>
      </w:r>
    </w:p>
    <w:p w14:paraId="36F375DB">
      <w:pPr>
        <w:spacing w:line="360" w:lineRule="auto"/>
        <w:ind w:firstLine="480" w:firstLineChars="200"/>
        <w:rPr>
          <w:rFonts w:ascii="宋体" w:hAnsi="宋体" w:cs="宋体"/>
          <w:color w:val="auto"/>
          <w:sz w:val="24"/>
        </w:rPr>
      </w:pPr>
      <w:r>
        <w:rPr>
          <w:rFonts w:hint="eastAsia" w:ascii="宋体" w:hAnsi="宋体" w:cs="宋体"/>
          <w:color w:val="auto"/>
          <w:sz w:val="24"/>
        </w:rPr>
        <w:t>本采购招标文件包括：</w:t>
      </w:r>
    </w:p>
    <w:p w14:paraId="164BB650">
      <w:pPr>
        <w:spacing w:line="360" w:lineRule="auto"/>
        <w:ind w:firstLine="480" w:firstLineChars="200"/>
        <w:rPr>
          <w:rFonts w:ascii="宋体" w:hAnsi="宋体" w:cs="宋体"/>
          <w:color w:val="auto"/>
          <w:sz w:val="24"/>
        </w:rPr>
      </w:pPr>
      <w:bookmarkStart w:id="19" w:name="_Hlk491871038"/>
      <w:r>
        <w:rPr>
          <w:rFonts w:hint="eastAsia" w:ascii="宋体" w:hAnsi="宋体" w:cs="宋体"/>
          <w:color w:val="auto"/>
          <w:sz w:val="24"/>
        </w:rPr>
        <w:t>第一章</w:t>
      </w:r>
      <w:bookmarkEnd w:id="19"/>
      <w:r>
        <w:rPr>
          <w:rFonts w:hint="eastAsia" w:ascii="宋体" w:hAnsi="宋体" w:cs="宋体"/>
          <w:color w:val="auto"/>
          <w:sz w:val="24"/>
        </w:rPr>
        <w:t xml:space="preserve"> 招标公告；</w:t>
      </w:r>
    </w:p>
    <w:p w14:paraId="456D1972">
      <w:pPr>
        <w:spacing w:line="360" w:lineRule="auto"/>
        <w:ind w:firstLine="480" w:firstLineChars="200"/>
        <w:rPr>
          <w:rFonts w:ascii="宋体" w:hAnsi="宋体" w:cs="宋体"/>
          <w:color w:val="auto"/>
          <w:sz w:val="24"/>
        </w:rPr>
      </w:pPr>
      <w:r>
        <w:rPr>
          <w:rFonts w:hint="eastAsia" w:ascii="宋体" w:hAnsi="宋体" w:cs="宋体"/>
          <w:color w:val="auto"/>
          <w:sz w:val="24"/>
        </w:rPr>
        <w:t>第二章 供应商须知；</w:t>
      </w:r>
    </w:p>
    <w:p w14:paraId="33013B57">
      <w:pPr>
        <w:spacing w:line="360" w:lineRule="auto"/>
        <w:ind w:firstLine="480" w:firstLineChars="200"/>
        <w:rPr>
          <w:rFonts w:ascii="宋体" w:hAnsi="宋体" w:cs="宋体"/>
          <w:color w:val="auto"/>
          <w:sz w:val="24"/>
        </w:rPr>
      </w:pPr>
      <w:r>
        <w:rPr>
          <w:rFonts w:hint="eastAsia" w:ascii="宋体" w:hAnsi="宋体" w:cs="宋体"/>
          <w:color w:val="auto"/>
          <w:sz w:val="24"/>
        </w:rPr>
        <w:t>第三章 评标办法及标准；</w:t>
      </w:r>
    </w:p>
    <w:p w14:paraId="5F51242B">
      <w:pPr>
        <w:spacing w:line="360" w:lineRule="auto"/>
        <w:ind w:firstLine="480" w:firstLineChars="200"/>
        <w:rPr>
          <w:rFonts w:ascii="宋体" w:hAnsi="宋体" w:cs="宋体"/>
          <w:color w:val="auto"/>
          <w:sz w:val="24"/>
        </w:rPr>
      </w:pPr>
      <w:r>
        <w:rPr>
          <w:rFonts w:hint="eastAsia" w:ascii="宋体" w:hAnsi="宋体" w:cs="宋体"/>
          <w:color w:val="auto"/>
          <w:sz w:val="24"/>
        </w:rPr>
        <w:t>第四章 合同条款及格式；</w:t>
      </w:r>
    </w:p>
    <w:p w14:paraId="0A3A21ED">
      <w:pPr>
        <w:spacing w:line="360" w:lineRule="auto"/>
        <w:ind w:firstLine="480" w:firstLineChars="200"/>
        <w:rPr>
          <w:rFonts w:ascii="宋体" w:hAnsi="宋体" w:cs="宋体"/>
          <w:color w:val="auto"/>
          <w:sz w:val="24"/>
        </w:rPr>
      </w:pPr>
      <w:r>
        <w:rPr>
          <w:rFonts w:hint="eastAsia" w:ascii="宋体" w:hAnsi="宋体" w:cs="宋体"/>
          <w:color w:val="auto"/>
          <w:sz w:val="24"/>
        </w:rPr>
        <w:t>第五章 采购需求；</w:t>
      </w:r>
    </w:p>
    <w:p w14:paraId="39282D7F">
      <w:pPr>
        <w:spacing w:line="360" w:lineRule="auto"/>
        <w:ind w:firstLine="480" w:firstLineChars="200"/>
        <w:rPr>
          <w:rFonts w:ascii="宋体" w:hAnsi="宋体" w:cs="宋体"/>
          <w:color w:val="auto"/>
          <w:sz w:val="24"/>
        </w:rPr>
      </w:pPr>
      <w:r>
        <w:rPr>
          <w:rFonts w:hint="eastAsia" w:ascii="宋体" w:hAnsi="宋体" w:cs="宋体"/>
          <w:color w:val="auto"/>
          <w:sz w:val="24"/>
        </w:rPr>
        <w:t>第六章 投标文件格式；</w:t>
      </w:r>
    </w:p>
    <w:p w14:paraId="5393C94A">
      <w:pPr>
        <w:spacing w:line="360" w:lineRule="auto"/>
        <w:ind w:firstLine="480" w:firstLineChars="200"/>
        <w:rPr>
          <w:rFonts w:ascii="宋体" w:hAnsi="宋体" w:cs="宋体"/>
          <w:color w:val="auto"/>
          <w:sz w:val="24"/>
        </w:rPr>
      </w:pPr>
      <w:r>
        <w:rPr>
          <w:rFonts w:hint="eastAsia" w:ascii="宋体" w:hAnsi="宋体" w:cs="宋体"/>
          <w:color w:val="auto"/>
          <w:sz w:val="24"/>
        </w:rPr>
        <w:t xml:space="preserve">根据本章第2.2款和第2.3款对采购招标文件所作的澄清、修改，构成采购招标文件的组成部分。 </w:t>
      </w:r>
    </w:p>
    <w:p w14:paraId="21D0ACF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2.2 采购招标文件的澄清 </w:t>
      </w:r>
    </w:p>
    <w:p w14:paraId="0BC6D6F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2.2.1供应商应认真审核采购招标文件及“采购需求”中的各项要求，如有疑问的，供应商必须在“供应商须知前附表”规定截止时间前以在线不署名提交（所有获取了采购文件的潜在供应商凭企业数字证书（CA）登录“政采云”平台（http：//www.zcygov.cn），通过在线方式进行不署名提问，要求采购代理机构澄清，截止时间后送达的澄清要求概不接受，由此产生的后果由供应商负责。</w:t>
      </w:r>
    </w:p>
    <w:p w14:paraId="6546BE7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2.2.2采购代理机构将以网上发布公告形式在云南省政府采购网（http://www.yngp.com）、“政采云”平台（http：//www.zcygov.cn）答复所有文件获取的供应商（答复中不包含问题的来源）要求澄清的问题，其他澄清方式无效。</w:t>
      </w:r>
    </w:p>
    <w:p w14:paraId="7012EE9D">
      <w:pPr>
        <w:spacing w:line="360" w:lineRule="auto"/>
        <w:ind w:firstLine="480" w:firstLineChars="200"/>
        <w:rPr>
          <w:rFonts w:ascii="宋体" w:hAnsi="宋体" w:cs="宋体"/>
          <w:color w:val="auto"/>
          <w:sz w:val="24"/>
        </w:rPr>
      </w:pPr>
      <w:r>
        <w:rPr>
          <w:rFonts w:hint="eastAsia" w:ascii="宋体" w:hAnsi="宋体" w:cs="宋体"/>
          <w:color w:val="auto"/>
          <w:sz w:val="24"/>
        </w:rPr>
        <w:t>2.2.3 澄清或者修改的内容可能影响投标文件编制的，采购人、采购代理机构应当在提交首次投标文件截止时间至少5日前，在云南省政府采购网（</w:t>
      </w:r>
      <w:r>
        <w:rPr>
          <w:color w:val="auto"/>
        </w:rPr>
        <w:fldChar w:fldCharType="begin"/>
      </w:r>
      <w:r>
        <w:rPr>
          <w:color w:val="auto"/>
        </w:rPr>
        <w:instrText xml:space="preserve"> HYPERLINK "http://www.purchase.gov.cn/" </w:instrText>
      </w:r>
      <w:r>
        <w:rPr>
          <w:color w:val="auto"/>
        </w:rPr>
        <w:fldChar w:fldCharType="separate"/>
      </w:r>
      <w:r>
        <w:rPr>
          <w:rFonts w:hint="eastAsia" w:ascii="宋体" w:hAnsi="宋体" w:cs="宋体"/>
          <w:color w:val="auto"/>
          <w:sz w:val="24"/>
        </w:rPr>
        <w:t>www.yngp.</w:t>
      </w:r>
      <w:r>
        <w:rPr>
          <w:rFonts w:hint="eastAsia" w:ascii="宋体" w:hAnsi="宋体" w:cs="宋体"/>
          <w:color w:val="auto"/>
          <w:sz w:val="24"/>
        </w:rPr>
        <w:fldChar w:fldCharType="end"/>
      </w:r>
      <w:r>
        <w:rPr>
          <w:rFonts w:hint="eastAsia" w:ascii="宋体" w:hAnsi="宋体" w:cs="宋体"/>
          <w:color w:val="auto"/>
          <w:sz w:val="24"/>
        </w:rPr>
        <w:t>com）、“政采云”平台（http：//www.zcygov.cn）上发布更正公告。不足5日的，采购人、采购代理机构应当顺延提交首次投标文件截止时间。</w:t>
      </w:r>
    </w:p>
    <w:p w14:paraId="489F576F">
      <w:pPr>
        <w:spacing w:line="360" w:lineRule="auto"/>
        <w:ind w:firstLine="480" w:firstLineChars="200"/>
        <w:rPr>
          <w:rFonts w:ascii="宋体" w:hAnsi="宋体" w:cs="宋体"/>
          <w:color w:val="auto"/>
          <w:sz w:val="24"/>
        </w:rPr>
      </w:pPr>
      <w:r>
        <w:rPr>
          <w:rFonts w:hint="eastAsia" w:ascii="宋体" w:hAnsi="宋体" w:cs="宋体"/>
          <w:color w:val="auto"/>
          <w:sz w:val="24"/>
        </w:rPr>
        <w:t>2.2.4 供应商应按供应商须知前附表规定的形式及时查看澄清内容。</w:t>
      </w:r>
    </w:p>
    <w:p w14:paraId="1ED80A5F">
      <w:pPr>
        <w:spacing w:line="360" w:lineRule="auto"/>
        <w:ind w:firstLine="480" w:firstLineChars="200"/>
        <w:rPr>
          <w:rFonts w:ascii="宋体" w:hAnsi="宋体" w:cs="宋体"/>
          <w:color w:val="auto"/>
          <w:sz w:val="24"/>
        </w:rPr>
      </w:pPr>
      <w:r>
        <w:rPr>
          <w:rFonts w:hint="eastAsia" w:ascii="宋体" w:hAnsi="宋体" w:cs="宋体"/>
          <w:color w:val="auto"/>
          <w:sz w:val="24"/>
        </w:rPr>
        <w:t>2.3 采购招标文件的修改</w:t>
      </w:r>
    </w:p>
    <w:p w14:paraId="6705008A">
      <w:pPr>
        <w:widowControl/>
        <w:spacing w:line="360" w:lineRule="auto"/>
        <w:ind w:firstLine="480" w:firstLineChars="200"/>
        <w:rPr>
          <w:rFonts w:ascii="宋体" w:hAnsi="宋体" w:cs="宋体"/>
          <w:color w:val="auto"/>
          <w:kern w:val="0"/>
          <w:sz w:val="24"/>
        </w:rPr>
      </w:pPr>
      <w:r>
        <w:rPr>
          <w:rFonts w:hint="eastAsia" w:ascii="宋体" w:hAnsi="宋体" w:cs="宋体"/>
          <w:color w:val="auto"/>
          <w:sz w:val="24"/>
        </w:rPr>
        <w:t>2.3.1 提交首次投标文件截止之日前，采购人、采购代理机构或者评标小组可以对已发出的采购招标文件进行必要的澄清或者修改，澄清或者修改的内容作为采购招标文件的组成部分，</w:t>
      </w:r>
      <w:r>
        <w:rPr>
          <w:rFonts w:hint="eastAsia" w:ascii="宋体" w:hAnsi="宋体" w:cs="宋体"/>
          <w:color w:val="auto"/>
          <w:kern w:val="0"/>
          <w:sz w:val="24"/>
        </w:rPr>
        <w:t>但不得改变采购标的和资格条件。澄清或者修改应当在原公告发布媒体上发布澄清公告。澄清或者修改的内容为采购招标文件的组成部分。</w:t>
      </w:r>
    </w:p>
    <w:p w14:paraId="573587E1">
      <w:pPr>
        <w:spacing w:line="360" w:lineRule="auto"/>
        <w:ind w:firstLine="480" w:firstLineChars="200"/>
        <w:rPr>
          <w:rFonts w:ascii="宋体" w:hAnsi="宋体" w:cs="宋体"/>
          <w:color w:val="auto"/>
          <w:sz w:val="24"/>
        </w:rPr>
      </w:pPr>
      <w:r>
        <w:rPr>
          <w:rFonts w:hint="eastAsia" w:ascii="宋体" w:hAnsi="宋体" w:cs="宋体"/>
          <w:color w:val="auto"/>
          <w:sz w:val="24"/>
        </w:rPr>
        <w:t>澄清或者修改的内容可能影响投标文件编制的，采购人、采购代理机构应当在提交首次投标文件截止时间至少5日前，在云南省政府采购网（</w:t>
      </w:r>
      <w:r>
        <w:rPr>
          <w:color w:val="auto"/>
        </w:rPr>
        <w:fldChar w:fldCharType="begin"/>
      </w:r>
      <w:r>
        <w:rPr>
          <w:color w:val="auto"/>
        </w:rPr>
        <w:instrText xml:space="preserve"> HYPERLINK "http://www.purchase.gov.cn/" </w:instrText>
      </w:r>
      <w:r>
        <w:rPr>
          <w:color w:val="auto"/>
        </w:rPr>
        <w:fldChar w:fldCharType="separate"/>
      </w:r>
      <w:r>
        <w:rPr>
          <w:rFonts w:hint="eastAsia" w:ascii="宋体" w:hAnsi="宋体" w:cs="宋体"/>
          <w:color w:val="auto"/>
          <w:sz w:val="24"/>
        </w:rPr>
        <w:t>www.yngp.</w:t>
      </w:r>
      <w:r>
        <w:rPr>
          <w:rFonts w:hint="eastAsia" w:ascii="宋体" w:hAnsi="宋体" w:cs="宋体"/>
          <w:color w:val="auto"/>
          <w:sz w:val="24"/>
        </w:rPr>
        <w:fldChar w:fldCharType="end"/>
      </w:r>
      <w:r>
        <w:rPr>
          <w:rFonts w:hint="eastAsia" w:ascii="宋体" w:hAnsi="宋体" w:cs="宋体"/>
          <w:color w:val="auto"/>
          <w:sz w:val="24"/>
        </w:rPr>
        <w:t>com）、“政采云”平台（http：//www.zcygov.cn）上发布更正公告；不足5日的，采购人、采购代理机构应当顺延提交首次投标文件截止时间。</w:t>
      </w:r>
    </w:p>
    <w:p w14:paraId="10DE2CC4">
      <w:pPr>
        <w:spacing w:line="360" w:lineRule="auto"/>
        <w:ind w:firstLine="480" w:firstLineChars="200"/>
        <w:rPr>
          <w:rFonts w:ascii="宋体" w:hAnsi="宋体" w:cs="宋体"/>
          <w:color w:val="auto"/>
          <w:sz w:val="24"/>
        </w:rPr>
      </w:pPr>
      <w:r>
        <w:rPr>
          <w:rFonts w:hint="eastAsia" w:ascii="宋体" w:hAnsi="宋体" w:cs="宋体"/>
          <w:color w:val="auto"/>
          <w:sz w:val="24"/>
        </w:rPr>
        <w:t xml:space="preserve">2.3.2 供应商应按供应商须知前附表规定的形式及时查看修改内容。 </w:t>
      </w:r>
    </w:p>
    <w:p w14:paraId="03673EBE">
      <w:pPr>
        <w:pStyle w:val="3"/>
        <w:spacing w:before="0" w:after="0" w:line="360" w:lineRule="auto"/>
        <w:ind w:firstLine="482" w:firstLineChars="200"/>
        <w:rPr>
          <w:rFonts w:ascii="宋体" w:hAnsi="宋体" w:cs="宋体"/>
          <w:color w:val="auto"/>
          <w:sz w:val="24"/>
          <w:szCs w:val="24"/>
        </w:rPr>
      </w:pPr>
      <w:bookmarkStart w:id="20" w:name="_Toc187226619"/>
      <w:bookmarkStart w:id="21" w:name="_Toc15384"/>
      <w:bookmarkStart w:id="22" w:name="_Toc22154"/>
      <w:bookmarkStart w:id="23" w:name="_Toc11671"/>
      <w:r>
        <w:rPr>
          <w:rFonts w:hint="eastAsia" w:ascii="宋体" w:hAnsi="宋体" w:cs="宋体"/>
          <w:color w:val="auto"/>
          <w:sz w:val="24"/>
          <w:szCs w:val="24"/>
        </w:rPr>
        <w:t xml:space="preserve">3. </w:t>
      </w:r>
      <w:bookmarkEnd w:id="20"/>
      <w:bookmarkEnd w:id="21"/>
      <w:bookmarkEnd w:id="22"/>
      <w:r>
        <w:rPr>
          <w:rFonts w:hint="eastAsia" w:ascii="宋体" w:hAnsi="宋体" w:cs="宋体"/>
          <w:color w:val="auto"/>
          <w:sz w:val="24"/>
          <w:szCs w:val="24"/>
        </w:rPr>
        <w:t>投标文件</w:t>
      </w:r>
      <w:bookmarkEnd w:id="23"/>
      <w:r>
        <w:rPr>
          <w:rFonts w:hint="eastAsia" w:ascii="宋体" w:hAnsi="宋体" w:cs="宋体"/>
          <w:color w:val="auto"/>
          <w:sz w:val="24"/>
          <w:szCs w:val="24"/>
        </w:rPr>
        <w:t xml:space="preserve"> </w:t>
      </w:r>
    </w:p>
    <w:p w14:paraId="30AD91AD">
      <w:pPr>
        <w:spacing w:line="360" w:lineRule="auto"/>
        <w:ind w:firstLine="480" w:firstLineChars="200"/>
        <w:rPr>
          <w:rFonts w:ascii="宋体" w:hAnsi="宋体" w:cs="宋体"/>
          <w:color w:val="auto"/>
          <w:sz w:val="24"/>
        </w:rPr>
      </w:pPr>
      <w:r>
        <w:rPr>
          <w:rFonts w:hint="eastAsia" w:ascii="宋体" w:hAnsi="宋体" w:cs="宋体"/>
          <w:color w:val="auto"/>
          <w:sz w:val="24"/>
        </w:rPr>
        <w:t xml:space="preserve">3.1 投标文件的组成 </w:t>
      </w:r>
    </w:p>
    <w:p w14:paraId="6AC52CB2">
      <w:pPr>
        <w:spacing w:line="360" w:lineRule="auto"/>
        <w:ind w:firstLine="480" w:firstLineChars="200"/>
        <w:rPr>
          <w:rFonts w:ascii="宋体" w:hAnsi="宋体" w:cs="宋体"/>
          <w:color w:val="auto"/>
          <w:sz w:val="24"/>
        </w:rPr>
      </w:pPr>
      <w:r>
        <w:rPr>
          <w:rFonts w:hint="eastAsia" w:ascii="宋体" w:hAnsi="宋体" w:cs="宋体"/>
          <w:color w:val="auto"/>
          <w:sz w:val="24"/>
        </w:rPr>
        <w:t>3.1.1 投标文件应包括下列内容：</w:t>
      </w:r>
    </w:p>
    <w:p w14:paraId="04DA7F7D">
      <w:pPr>
        <w:spacing w:line="360" w:lineRule="auto"/>
        <w:ind w:firstLine="361"/>
        <w:jc w:val="left"/>
        <w:rPr>
          <w:rFonts w:ascii="宋体" w:hAnsi="宋体" w:cs="宋体"/>
          <w:bCs/>
          <w:color w:val="auto"/>
          <w:sz w:val="24"/>
        </w:rPr>
      </w:pPr>
      <w:r>
        <w:rPr>
          <w:rFonts w:hint="eastAsia" w:ascii="宋体" w:hAnsi="宋体" w:cs="宋体"/>
          <w:bCs/>
          <w:color w:val="auto"/>
          <w:sz w:val="24"/>
        </w:rPr>
        <w:t>报价一览表</w:t>
      </w:r>
    </w:p>
    <w:p w14:paraId="0C9CA34E">
      <w:pPr>
        <w:spacing w:line="360" w:lineRule="auto"/>
        <w:ind w:firstLine="361"/>
        <w:jc w:val="left"/>
        <w:rPr>
          <w:rFonts w:ascii="宋体" w:hAnsi="宋体"/>
          <w:color w:val="auto"/>
          <w:sz w:val="24"/>
        </w:rPr>
      </w:pPr>
      <w:r>
        <w:rPr>
          <w:rFonts w:hint="eastAsia" w:ascii="宋体" w:hAnsi="宋体"/>
          <w:b/>
          <w:bCs/>
          <w:color w:val="auto"/>
          <w:sz w:val="24"/>
        </w:rPr>
        <w:t>一、资格审查部分</w:t>
      </w:r>
      <w:r>
        <w:rPr>
          <w:rFonts w:hint="eastAsia" w:ascii="宋体" w:hAnsi="宋体"/>
          <w:color w:val="auto"/>
          <w:sz w:val="24"/>
        </w:rPr>
        <w:t xml:space="preserve"> </w:t>
      </w:r>
    </w:p>
    <w:p w14:paraId="7900EC82">
      <w:pPr>
        <w:spacing w:line="360" w:lineRule="auto"/>
        <w:ind w:firstLine="361"/>
        <w:jc w:val="left"/>
        <w:rPr>
          <w:rFonts w:ascii="宋体" w:hAnsi="宋体"/>
          <w:color w:val="auto"/>
          <w:sz w:val="24"/>
        </w:rPr>
      </w:pPr>
      <w:r>
        <w:rPr>
          <w:rFonts w:hint="eastAsia" w:ascii="宋体" w:hAnsi="宋体"/>
          <w:color w:val="auto"/>
          <w:sz w:val="24"/>
        </w:rPr>
        <w:t>（一）供应商基本情况表</w:t>
      </w:r>
    </w:p>
    <w:p w14:paraId="714A334D">
      <w:pPr>
        <w:spacing w:line="360" w:lineRule="auto"/>
        <w:ind w:firstLine="361"/>
        <w:jc w:val="left"/>
        <w:rPr>
          <w:rFonts w:ascii="宋体" w:hAnsi="宋体"/>
          <w:color w:val="auto"/>
          <w:sz w:val="24"/>
        </w:rPr>
      </w:pPr>
      <w:r>
        <w:rPr>
          <w:rFonts w:hint="eastAsia" w:ascii="宋体" w:hAnsi="宋体"/>
          <w:color w:val="auto"/>
          <w:sz w:val="24"/>
        </w:rPr>
        <w:t>（二）资格条件承诺函</w:t>
      </w:r>
    </w:p>
    <w:p w14:paraId="0C843ECF">
      <w:pPr>
        <w:spacing w:line="360" w:lineRule="auto"/>
        <w:ind w:firstLine="361"/>
        <w:jc w:val="left"/>
        <w:rPr>
          <w:rFonts w:ascii="宋体" w:hAnsi="宋体"/>
          <w:color w:val="auto"/>
          <w:sz w:val="24"/>
        </w:rPr>
      </w:pPr>
      <w:r>
        <w:rPr>
          <w:rFonts w:hint="eastAsia" w:ascii="宋体" w:hAnsi="宋体"/>
          <w:color w:val="auto"/>
          <w:sz w:val="24"/>
        </w:rPr>
        <w:t>（三）法定代表人身份证明书</w:t>
      </w:r>
    </w:p>
    <w:p w14:paraId="477B1B0B">
      <w:pPr>
        <w:spacing w:line="360" w:lineRule="auto"/>
        <w:ind w:firstLine="361"/>
        <w:jc w:val="left"/>
        <w:rPr>
          <w:rFonts w:ascii="宋体" w:hAnsi="宋体"/>
          <w:color w:val="auto"/>
          <w:sz w:val="24"/>
        </w:rPr>
      </w:pPr>
      <w:r>
        <w:rPr>
          <w:rFonts w:hint="eastAsia" w:ascii="宋体" w:hAnsi="宋体"/>
          <w:color w:val="auto"/>
          <w:sz w:val="24"/>
        </w:rPr>
        <w:t>（四）法定代表人授权委托书</w:t>
      </w:r>
    </w:p>
    <w:p w14:paraId="217BF139">
      <w:pPr>
        <w:spacing w:line="360" w:lineRule="auto"/>
        <w:ind w:firstLine="361"/>
        <w:jc w:val="left"/>
        <w:rPr>
          <w:rFonts w:ascii="宋体" w:hAnsi="宋体"/>
          <w:color w:val="auto"/>
          <w:sz w:val="24"/>
        </w:rPr>
      </w:pPr>
      <w:r>
        <w:rPr>
          <w:rFonts w:hint="eastAsia" w:ascii="宋体" w:hAnsi="宋体"/>
          <w:color w:val="auto"/>
          <w:sz w:val="24"/>
        </w:rPr>
        <w:t>（五）构成投标文件的其它资料</w:t>
      </w:r>
    </w:p>
    <w:p w14:paraId="7AD4467F">
      <w:pPr>
        <w:spacing w:line="360" w:lineRule="auto"/>
        <w:ind w:firstLine="361"/>
        <w:jc w:val="left"/>
        <w:rPr>
          <w:rFonts w:ascii="宋体" w:hAnsi="宋体"/>
          <w:b/>
          <w:bCs/>
          <w:color w:val="auto"/>
          <w:sz w:val="24"/>
        </w:rPr>
      </w:pPr>
      <w:r>
        <w:rPr>
          <w:rFonts w:hint="eastAsia" w:ascii="宋体" w:hAnsi="宋体"/>
          <w:b/>
          <w:bCs/>
          <w:color w:val="auto"/>
          <w:sz w:val="24"/>
        </w:rPr>
        <w:t>二、报价部分</w:t>
      </w:r>
    </w:p>
    <w:p w14:paraId="78DCAFD4">
      <w:pPr>
        <w:spacing w:line="360" w:lineRule="auto"/>
        <w:ind w:firstLine="361"/>
        <w:jc w:val="left"/>
        <w:rPr>
          <w:rFonts w:ascii="宋体" w:hAnsi="宋体"/>
          <w:color w:val="auto"/>
          <w:sz w:val="24"/>
        </w:rPr>
      </w:pPr>
      <w:r>
        <w:rPr>
          <w:rFonts w:hint="eastAsia" w:ascii="宋体" w:hAnsi="宋体"/>
          <w:color w:val="auto"/>
          <w:sz w:val="24"/>
        </w:rPr>
        <w:t>（一）报价一览表</w:t>
      </w:r>
    </w:p>
    <w:p w14:paraId="2EC58FAC">
      <w:pPr>
        <w:spacing w:line="360" w:lineRule="auto"/>
        <w:ind w:firstLine="361"/>
        <w:jc w:val="left"/>
        <w:rPr>
          <w:rFonts w:ascii="宋体" w:hAnsi="宋体"/>
          <w:color w:val="auto"/>
          <w:sz w:val="24"/>
        </w:rPr>
      </w:pPr>
      <w:r>
        <w:rPr>
          <w:rFonts w:hint="eastAsia" w:ascii="宋体" w:hAnsi="宋体"/>
          <w:color w:val="auto"/>
          <w:sz w:val="24"/>
        </w:rPr>
        <w:t>（二）报价组成明细表</w:t>
      </w:r>
    </w:p>
    <w:p w14:paraId="2C48CB4F">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三</w:t>
      </w:r>
      <w:r>
        <w:rPr>
          <w:rFonts w:hint="eastAsia" w:ascii="宋体" w:hAnsi="宋体" w:eastAsia="宋体" w:cs="Times New Roman"/>
          <w:color w:val="auto"/>
          <w:sz w:val="24"/>
          <w:lang w:eastAsia="zh-CN"/>
        </w:rPr>
        <w:t>）</w:t>
      </w:r>
      <w:r>
        <w:rPr>
          <w:rFonts w:hint="eastAsia" w:ascii="宋体" w:hAnsi="宋体" w:eastAsia="宋体" w:cs="Times New Roman"/>
          <w:color w:val="auto"/>
          <w:sz w:val="24"/>
        </w:rPr>
        <w:t>规格、技术指标响应偏离表</w:t>
      </w:r>
    </w:p>
    <w:p w14:paraId="08E7E218">
      <w:pPr>
        <w:spacing w:line="360" w:lineRule="auto"/>
        <w:ind w:firstLine="361"/>
        <w:jc w:val="left"/>
        <w:rPr>
          <w:rFonts w:ascii="宋体" w:hAnsi="宋体"/>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四</w:t>
      </w:r>
      <w:r>
        <w:rPr>
          <w:rFonts w:hint="eastAsia" w:ascii="宋体" w:hAnsi="宋体" w:eastAsia="宋体" w:cs="Times New Roman"/>
          <w:color w:val="auto"/>
          <w:sz w:val="24"/>
        </w:rPr>
        <w:t>）商务条款偏离表</w:t>
      </w:r>
    </w:p>
    <w:p w14:paraId="122A0F48">
      <w:pPr>
        <w:spacing w:line="360" w:lineRule="auto"/>
        <w:ind w:firstLine="361"/>
        <w:jc w:val="left"/>
        <w:rPr>
          <w:rFonts w:hint="eastAsia" w:ascii="宋体" w:hAnsi="宋体"/>
          <w:b/>
          <w:bCs/>
          <w:color w:val="auto"/>
          <w:sz w:val="24"/>
        </w:rPr>
      </w:pPr>
      <w:r>
        <w:rPr>
          <w:rFonts w:hint="eastAsia" w:ascii="宋体" w:hAnsi="宋体"/>
          <w:b/>
          <w:bCs/>
          <w:color w:val="auto"/>
          <w:sz w:val="24"/>
        </w:rPr>
        <w:t>三、</w:t>
      </w:r>
      <w:r>
        <w:rPr>
          <w:rFonts w:hint="eastAsia" w:ascii="宋体" w:hAnsi="宋体"/>
          <w:b/>
          <w:bCs/>
          <w:color w:val="auto"/>
          <w:sz w:val="24"/>
          <w:lang w:val="en-US" w:eastAsia="zh-CN"/>
        </w:rPr>
        <w:t>商务部分、</w:t>
      </w:r>
      <w:r>
        <w:rPr>
          <w:rFonts w:hint="eastAsia" w:ascii="宋体" w:hAnsi="宋体"/>
          <w:b/>
          <w:bCs/>
          <w:color w:val="auto"/>
          <w:sz w:val="24"/>
        </w:rPr>
        <w:t>技术部分</w:t>
      </w:r>
    </w:p>
    <w:p w14:paraId="6D63300B">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一</w:t>
      </w:r>
      <w:r>
        <w:rPr>
          <w:rFonts w:hint="eastAsia" w:ascii="宋体" w:hAnsi="宋体" w:eastAsia="宋体" w:cs="Times New Roman"/>
          <w:color w:val="auto"/>
          <w:sz w:val="24"/>
          <w:lang w:eastAsia="zh-CN"/>
        </w:rPr>
        <w:t>）</w:t>
      </w:r>
      <w:r>
        <w:rPr>
          <w:rFonts w:hint="eastAsia" w:ascii="宋体" w:hAnsi="宋体" w:eastAsia="宋体" w:cs="Times New Roman"/>
          <w:color w:val="auto"/>
          <w:sz w:val="24"/>
        </w:rPr>
        <w:t>投标产品的技术参数</w:t>
      </w:r>
    </w:p>
    <w:p w14:paraId="69596B5D">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二</w:t>
      </w:r>
      <w:r>
        <w:rPr>
          <w:rFonts w:hint="eastAsia" w:ascii="宋体" w:hAnsi="宋体" w:eastAsia="宋体" w:cs="Times New Roman"/>
          <w:color w:val="auto"/>
          <w:sz w:val="24"/>
        </w:rPr>
        <w:t>）项目</w:t>
      </w:r>
      <w:r>
        <w:rPr>
          <w:rFonts w:hint="eastAsia" w:ascii="宋体" w:hAnsi="宋体" w:eastAsia="宋体" w:cs="Times New Roman"/>
          <w:color w:val="auto"/>
          <w:sz w:val="24"/>
          <w:lang w:val="en-US" w:eastAsia="zh-CN"/>
        </w:rPr>
        <w:t>实施</w:t>
      </w:r>
      <w:r>
        <w:rPr>
          <w:rFonts w:hint="eastAsia" w:ascii="宋体" w:hAnsi="宋体" w:eastAsia="宋体" w:cs="Times New Roman"/>
          <w:color w:val="auto"/>
          <w:sz w:val="24"/>
        </w:rPr>
        <w:t>方案</w:t>
      </w:r>
    </w:p>
    <w:p w14:paraId="40A04028">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三</w:t>
      </w:r>
      <w:r>
        <w:rPr>
          <w:rFonts w:hint="eastAsia" w:ascii="宋体" w:hAnsi="宋体" w:eastAsia="宋体" w:cs="Times New Roman"/>
          <w:color w:val="auto"/>
          <w:sz w:val="24"/>
        </w:rPr>
        <w:t>）售后服务承诺</w:t>
      </w:r>
    </w:p>
    <w:p w14:paraId="13B32717">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四</w:t>
      </w:r>
      <w:r>
        <w:rPr>
          <w:rFonts w:hint="eastAsia" w:ascii="宋体" w:hAnsi="宋体" w:eastAsia="宋体" w:cs="Times New Roman"/>
          <w:color w:val="auto"/>
          <w:sz w:val="24"/>
        </w:rPr>
        <w:t>）培训方案</w:t>
      </w:r>
    </w:p>
    <w:p w14:paraId="712AA10C">
      <w:pPr>
        <w:spacing w:line="360" w:lineRule="auto"/>
        <w:ind w:firstLine="361"/>
        <w:jc w:val="left"/>
        <w:rPr>
          <w:rFonts w:hint="default" w:ascii="宋体" w:hAnsi="宋体" w:eastAsia="宋体" w:cs="Times New Roman"/>
          <w:color w:val="auto"/>
          <w:sz w:val="24"/>
          <w:lang w:val="en-US" w:eastAsia="zh-CN"/>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五</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类似业绩</w:t>
      </w:r>
    </w:p>
    <w:p w14:paraId="5C928FFF">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六</w:t>
      </w:r>
      <w:r>
        <w:rPr>
          <w:rFonts w:hint="eastAsia" w:ascii="宋体" w:hAnsi="宋体" w:eastAsia="宋体" w:cs="Times New Roman"/>
          <w:color w:val="auto"/>
          <w:sz w:val="24"/>
        </w:rPr>
        <w:t>）投标人认为重要的其他资料</w:t>
      </w:r>
    </w:p>
    <w:p w14:paraId="6D049666">
      <w:pPr>
        <w:spacing w:line="336" w:lineRule="auto"/>
        <w:ind w:firstLine="480" w:firstLineChars="200"/>
        <w:rPr>
          <w:rFonts w:ascii="宋体" w:hAnsi="宋体" w:cs="宋体"/>
          <w:color w:val="auto"/>
          <w:sz w:val="24"/>
        </w:rPr>
      </w:pPr>
      <w:r>
        <w:rPr>
          <w:rFonts w:hint="eastAsia" w:ascii="宋体" w:hAnsi="宋体" w:cs="宋体"/>
          <w:color w:val="auto"/>
          <w:sz w:val="24"/>
        </w:rPr>
        <w:t xml:space="preserve">3.1.2 供应商须知前附表规定不接受联合体的，或供应商没有组成联合体的，投标文件不包括本章第1.4.2款所指的联合体协议书。 </w:t>
      </w:r>
    </w:p>
    <w:p w14:paraId="4DEFB75D">
      <w:pPr>
        <w:spacing w:line="336" w:lineRule="auto"/>
        <w:ind w:firstLine="480" w:firstLineChars="200"/>
        <w:rPr>
          <w:rFonts w:ascii="宋体" w:hAnsi="宋体" w:cs="宋体"/>
          <w:color w:val="auto"/>
          <w:sz w:val="24"/>
        </w:rPr>
      </w:pPr>
      <w:r>
        <w:rPr>
          <w:rFonts w:hint="eastAsia" w:ascii="宋体" w:hAnsi="宋体" w:cs="宋体"/>
          <w:color w:val="auto"/>
          <w:sz w:val="24"/>
        </w:rPr>
        <w:t xml:space="preserve">3.2 投标报价 </w:t>
      </w:r>
    </w:p>
    <w:p w14:paraId="05D41D5B">
      <w:pPr>
        <w:spacing w:line="336" w:lineRule="auto"/>
        <w:ind w:firstLine="480" w:firstLineChars="200"/>
        <w:rPr>
          <w:rFonts w:ascii="宋体" w:hAnsi="宋体" w:cs="宋体"/>
          <w:color w:val="auto"/>
          <w:sz w:val="24"/>
        </w:rPr>
      </w:pPr>
      <w:r>
        <w:rPr>
          <w:rFonts w:hint="eastAsia" w:ascii="宋体" w:hAnsi="宋体" w:cs="宋体"/>
          <w:color w:val="auto"/>
          <w:sz w:val="24"/>
        </w:rPr>
        <w:t>3.2.1 所有投标均以人民币报价。</w:t>
      </w:r>
    </w:p>
    <w:p w14:paraId="3A4E31D4">
      <w:pPr>
        <w:spacing w:line="336" w:lineRule="auto"/>
        <w:ind w:firstLine="480" w:firstLineChars="200"/>
        <w:rPr>
          <w:rFonts w:ascii="宋体" w:hAnsi="宋体" w:cs="宋体"/>
          <w:color w:val="auto"/>
          <w:sz w:val="24"/>
        </w:rPr>
      </w:pPr>
      <w:r>
        <w:rPr>
          <w:rFonts w:hint="eastAsia" w:ascii="宋体" w:hAnsi="宋体" w:cs="宋体"/>
          <w:color w:val="auto"/>
          <w:sz w:val="24"/>
        </w:rPr>
        <w:t>3.2.2 投标报价中不得包含采购招标文件要求以外的内容，否则，在评标时不予核减。供应商不得将整个项目中的内容拆开投标(只投其中一项或几项)，否则该投标无效，将被拒绝。</w:t>
      </w:r>
    </w:p>
    <w:p w14:paraId="6436E56F">
      <w:pPr>
        <w:spacing w:line="336" w:lineRule="auto"/>
        <w:ind w:firstLine="480" w:firstLineChars="200"/>
        <w:rPr>
          <w:rFonts w:ascii="宋体" w:hAnsi="宋体" w:cs="宋体"/>
          <w:color w:val="auto"/>
          <w:sz w:val="24"/>
        </w:rPr>
      </w:pPr>
      <w:r>
        <w:rPr>
          <w:rFonts w:hint="eastAsia" w:ascii="宋体" w:hAnsi="宋体" w:cs="宋体"/>
          <w:color w:val="auto"/>
          <w:sz w:val="24"/>
        </w:rPr>
        <w:t>3.2.3 供应商的报价应包括在服务期内所需要的成本费、人员工资、管理费、利润、税金、政策性文件规定及合同包含的所有风险、责任等一切费用，投标报价为最终报价，除非因特殊原因并经甲乙双方协商同意，供应商不得再要求追加任何费用。该报价应符合国内行情并能保证供应商完成履行合同所需的一切工作。合同一旦签订，此合同价格在合同执行期间将不因工作量的变化而调整。</w:t>
      </w:r>
    </w:p>
    <w:p w14:paraId="07CDCEED">
      <w:pPr>
        <w:spacing w:line="336" w:lineRule="auto"/>
        <w:ind w:firstLine="480" w:firstLineChars="200"/>
        <w:rPr>
          <w:rFonts w:ascii="宋体" w:hAnsi="宋体" w:cs="宋体"/>
          <w:color w:val="auto"/>
          <w:sz w:val="24"/>
        </w:rPr>
      </w:pPr>
      <w:r>
        <w:rPr>
          <w:rFonts w:hint="eastAsia" w:ascii="宋体" w:hAnsi="宋体" w:cs="宋体"/>
          <w:color w:val="auto"/>
          <w:sz w:val="24"/>
        </w:rPr>
        <w:t>3.2.4 任何有选择的报价将不予接受。</w:t>
      </w:r>
    </w:p>
    <w:p w14:paraId="1432C35B">
      <w:pPr>
        <w:spacing w:line="336" w:lineRule="auto"/>
        <w:ind w:firstLine="480" w:firstLineChars="200"/>
        <w:rPr>
          <w:rFonts w:ascii="宋体" w:hAnsi="宋体" w:cs="宋体"/>
          <w:color w:val="auto"/>
          <w:sz w:val="24"/>
        </w:rPr>
      </w:pPr>
      <w:r>
        <w:rPr>
          <w:rFonts w:hint="eastAsia" w:ascii="宋体" w:hAnsi="宋体" w:cs="宋体"/>
          <w:color w:val="auto"/>
          <w:sz w:val="24"/>
        </w:rPr>
        <w:t>3.3 投标有效期</w:t>
      </w:r>
    </w:p>
    <w:p w14:paraId="3AAA04E1">
      <w:pPr>
        <w:spacing w:line="336" w:lineRule="auto"/>
        <w:ind w:firstLine="480" w:firstLineChars="200"/>
        <w:rPr>
          <w:rFonts w:ascii="宋体" w:hAnsi="宋体" w:cs="宋体"/>
          <w:color w:val="auto"/>
          <w:sz w:val="24"/>
        </w:rPr>
      </w:pPr>
      <w:r>
        <w:rPr>
          <w:rFonts w:hint="eastAsia" w:ascii="宋体" w:hAnsi="宋体" w:cs="宋体"/>
          <w:color w:val="auto"/>
          <w:sz w:val="24"/>
        </w:rPr>
        <w:t>3.3.1 在供应商须知前附表规定的投标有效期内，供应商不得要求撤销或修改其投标文件。</w:t>
      </w:r>
    </w:p>
    <w:p w14:paraId="70740F80">
      <w:pPr>
        <w:spacing w:line="336" w:lineRule="auto"/>
        <w:ind w:firstLine="480" w:firstLineChars="200"/>
        <w:rPr>
          <w:rFonts w:ascii="宋体" w:hAnsi="宋体" w:cs="宋体"/>
          <w:color w:val="auto"/>
          <w:sz w:val="24"/>
        </w:rPr>
      </w:pPr>
      <w:r>
        <w:rPr>
          <w:rFonts w:hint="eastAsia" w:ascii="宋体" w:hAnsi="宋体" w:cs="宋体"/>
          <w:color w:val="auto"/>
          <w:sz w:val="24"/>
        </w:rPr>
        <w:t xml:space="preserve">3.3.2 出现特殊情况需要延长投标有效期的，采购人以书面形式通知所有供应商延长投标有效期。供应商同意延长的，不得要求或被允许修改或撤销其投标文件。 </w:t>
      </w:r>
    </w:p>
    <w:p w14:paraId="69BC54D0">
      <w:pPr>
        <w:spacing w:line="336" w:lineRule="auto"/>
        <w:ind w:firstLine="480" w:firstLineChars="200"/>
        <w:rPr>
          <w:rFonts w:ascii="宋体" w:hAnsi="宋体" w:cs="宋体"/>
          <w:color w:val="auto"/>
          <w:sz w:val="24"/>
        </w:rPr>
      </w:pPr>
      <w:r>
        <w:rPr>
          <w:rFonts w:hint="eastAsia" w:ascii="宋体" w:hAnsi="宋体" w:cs="宋体"/>
          <w:color w:val="auto"/>
          <w:sz w:val="24"/>
        </w:rPr>
        <w:t>3.4 投标保证金</w:t>
      </w:r>
    </w:p>
    <w:p w14:paraId="3E4B1DC8">
      <w:pPr>
        <w:spacing w:line="336" w:lineRule="auto"/>
        <w:ind w:firstLine="480" w:firstLineChars="200"/>
        <w:rPr>
          <w:rFonts w:ascii="宋体" w:hAnsi="宋体" w:cs="宋体"/>
          <w:color w:val="auto"/>
          <w:sz w:val="24"/>
        </w:rPr>
      </w:pPr>
      <w:r>
        <w:rPr>
          <w:rFonts w:hint="eastAsia" w:ascii="宋体" w:hAnsi="宋体" w:cs="宋体"/>
          <w:color w:val="auto"/>
          <w:sz w:val="24"/>
        </w:rPr>
        <w:t>3.4.1本项目不收取投标保证金。</w:t>
      </w:r>
    </w:p>
    <w:p w14:paraId="28616316">
      <w:pPr>
        <w:spacing w:line="336" w:lineRule="auto"/>
        <w:ind w:firstLine="480" w:firstLineChars="200"/>
        <w:rPr>
          <w:rFonts w:ascii="宋体" w:hAnsi="宋体" w:cs="宋体"/>
          <w:color w:val="auto"/>
          <w:sz w:val="24"/>
        </w:rPr>
      </w:pPr>
      <w:r>
        <w:rPr>
          <w:rFonts w:hint="eastAsia" w:ascii="宋体" w:hAnsi="宋体" w:cs="宋体"/>
          <w:color w:val="auto"/>
          <w:sz w:val="24"/>
        </w:rPr>
        <w:t>3.5 备选方案</w:t>
      </w:r>
    </w:p>
    <w:p w14:paraId="3B89C0C0">
      <w:pPr>
        <w:spacing w:line="336" w:lineRule="auto"/>
        <w:ind w:firstLine="480" w:firstLineChars="200"/>
        <w:rPr>
          <w:rFonts w:ascii="宋体" w:hAnsi="宋体" w:cs="宋体"/>
          <w:color w:val="auto"/>
          <w:sz w:val="24"/>
        </w:rPr>
      </w:pPr>
      <w:r>
        <w:rPr>
          <w:rFonts w:hint="eastAsia" w:ascii="宋体" w:hAnsi="宋体" w:cs="宋体"/>
          <w:color w:val="auto"/>
          <w:sz w:val="24"/>
        </w:rPr>
        <w:t xml:space="preserve">除供应商须知前附表另有规定外，供应商不得递交备选方案。允许供应商递交备选方案的，只有中标供应商所递交的备选方案方可予以考虑。评标小组认为中标供应商的备选方案优于其按照采购招标文件要求编制的方案的，采购人可以接受该备选方案。 </w:t>
      </w:r>
    </w:p>
    <w:p w14:paraId="71186ADA">
      <w:pPr>
        <w:spacing w:line="336" w:lineRule="auto"/>
        <w:ind w:firstLine="480" w:firstLineChars="200"/>
        <w:rPr>
          <w:rFonts w:ascii="宋体" w:hAnsi="宋体" w:cs="宋体"/>
          <w:color w:val="auto"/>
          <w:sz w:val="24"/>
        </w:rPr>
      </w:pPr>
      <w:r>
        <w:rPr>
          <w:rFonts w:hint="eastAsia" w:ascii="宋体" w:hAnsi="宋体" w:cs="宋体"/>
          <w:color w:val="auto"/>
          <w:sz w:val="24"/>
        </w:rPr>
        <w:t xml:space="preserve">3.6 投标文件的编制 </w:t>
      </w:r>
    </w:p>
    <w:p w14:paraId="746DDBB0">
      <w:pPr>
        <w:spacing w:line="336" w:lineRule="auto"/>
        <w:ind w:firstLine="480" w:firstLineChars="200"/>
        <w:rPr>
          <w:rFonts w:ascii="宋体" w:hAnsi="宋体" w:cs="宋体"/>
          <w:color w:val="auto"/>
          <w:sz w:val="24"/>
        </w:rPr>
      </w:pPr>
      <w:r>
        <w:rPr>
          <w:rFonts w:hint="eastAsia" w:ascii="宋体" w:hAnsi="宋体" w:cs="宋体"/>
          <w:color w:val="auto"/>
          <w:sz w:val="24"/>
        </w:rPr>
        <w:t xml:space="preserve">3.6.1 投标文件应按第六章“投标文件格式”进行编写，如有必要，可以增加附页，作为投标文件的组成部分。其中，投标函在满足采购招标文件实质性要求的基础上，可以提出比采购招标文件要求更有利于采购人的承诺。 </w:t>
      </w:r>
    </w:p>
    <w:p w14:paraId="70AE8783">
      <w:pPr>
        <w:spacing w:line="336" w:lineRule="auto"/>
        <w:ind w:firstLine="480" w:firstLineChars="200"/>
        <w:rPr>
          <w:rFonts w:ascii="宋体" w:hAnsi="宋体" w:cs="宋体"/>
          <w:color w:val="auto"/>
          <w:sz w:val="24"/>
        </w:rPr>
      </w:pPr>
      <w:r>
        <w:rPr>
          <w:rFonts w:hint="eastAsia" w:ascii="宋体" w:hAnsi="宋体" w:cs="宋体"/>
          <w:color w:val="auto"/>
          <w:sz w:val="24"/>
        </w:rPr>
        <w:t>3.6.2 投标文件应当对采购招标文件有关</w:t>
      </w:r>
      <w:r>
        <w:rPr>
          <w:rFonts w:hint="eastAsia" w:ascii="宋体" w:hAnsi="宋体" w:cs="宋体"/>
          <w:color w:val="auto"/>
          <w:sz w:val="24"/>
          <w:lang w:val="en-US" w:eastAsia="zh-CN"/>
        </w:rPr>
        <w:t>供货</w:t>
      </w:r>
      <w:r>
        <w:rPr>
          <w:rFonts w:hint="eastAsia" w:ascii="宋体" w:hAnsi="宋体" w:cs="宋体"/>
          <w:color w:val="auto"/>
          <w:sz w:val="24"/>
        </w:rPr>
        <w:t>期限、投标有效期、</w:t>
      </w:r>
      <w:r>
        <w:rPr>
          <w:rFonts w:hint="eastAsia" w:ascii="宋体" w:hAnsi="宋体" w:cs="宋体"/>
          <w:color w:val="auto"/>
          <w:sz w:val="24"/>
          <w:lang w:val="en-US" w:eastAsia="zh-CN"/>
        </w:rPr>
        <w:t>交货</w:t>
      </w:r>
      <w:r>
        <w:rPr>
          <w:rFonts w:hint="eastAsia" w:ascii="宋体" w:hAnsi="宋体" w:cs="宋体"/>
          <w:color w:val="auto"/>
          <w:sz w:val="24"/>
        </w:rPr>
        <w:t>地点、质量要求等实质性内容作出响应。</w:t>
      </w:r>
    </w:p>
    <w:p w14:paraId="0E7E6A97">
      <w:pPr>
        <w:pStyle w:val="3"/>
        <w:spacing w:before="0" w:after="0" w:line="360" w:lineRule="auto"/>
        <w:ind w:firstLine="482" w:firstLineChars="200"/>
        <w:rPr>
          <w:rFonts w:ascii="宋体" w:hAnsi="宋体" w:cs="宋体"/>
          <w:color w:val="auto"/>
          <w:sz w:val="24"/>
          <w:szCs w:val="24"/>
        </w:rPr>
      </w:pPr>
      <w:bookmarkStart w:id="24" w:name="_Toc20311"/>
      <w:bookmarkStart w:id="25" w:name="_Toc727"/>
      <w:bookmarkStart w:id="26" w:name="_Toc187226620"/>
      <w:bookmarkStart w:id="27" w:name="_Toc11947"/>
      <w:r>
        <w:rPr>
          <w:rFonts w:hint="eastAsia" w:ascii="宋体" w:hAnsi="宋体" w:cs="宋体"/>
          <w:color w:val="auto"/>
          <w:sz w:val="24"/>
          <w:szCs w:val="24"/>
        </w:rPr>
        <w:t>4. 投标</w:t>
      </w:r>
      <w:bookmarkEnd w:id="24"/>
      <w:bookmarkEnd w:id="25"/>
      <w:bookmarkEnd w:id="26"/>
      <w:bookmarkEnd w:id="27"/>
      <w:r>
        <w:rPr>
          <w:rFonts w:hint="eastAsia" w:ascii="宋体" w:hAnsi="宋体" w:cs="宋体"/>
          <w:color w:val="auto"/>
          <w:sz w:val="24"/>
          <w:szCs w:val="24"/>
        </w:rPr>
        <w:t xml:space="preserve"> </w:t>
      </w:r>
    </w:p>
    <w:p w14:paraId="3BEE361C">
      <w:pPr>
        <w:spacing w:line="360" w:lineRule="auto"/>
        <w:ind w:firstLine="480" w:firstLineChars="200"/>
        <w:rPr>
          <w:rFonts w:ascii="宋体" w:hAnsi="宋体" w:cs="宋体"/>
          <w:color w:val="auto"/>
          <w:sz w:val="24"/>
        </w:rPr>
      </w:pPr>
      <w:r>
        <w:rPr>
          <w:rFonts w:hint="eastAsia" w:ascii="宋体" w:hAnsi="宋体" w:cs="宋体"/>
          <w:color w:val="auto"/>
          <w:sz w:val="24"/>
        </w:rPr>
        <w:t>4.1 投标文件的递交</w:t>
      </w:r>
    </w:p>
    <w:p w14:paraId="67BF3E6E">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4.1.1 供应商应在供应商须知前附表规定的投标截止时间前递交投标文件。 </w:t>
      </w:r>
    </w:p>
    <w:p w14:paraId="2CFAD9A9">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4.1.2 供应商递交投标文件的地点：见供应商须知前附表。 </w:t>
      </w:r>
    </w:p>
    <w:p w14:paraId="50BE46F6">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4.1.3 除供应商须知前附表另有规定外，供应商所递交的投标文件不予退还。 </w:t>
      </w:r>
    </w:p>
    <w:p w14:paraId="14ED44F1">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4.1.4 逾期送达的或者未送达指定地点的投标文件，采购人不予受理。 </w:t>
      </w:r>
    </w:p>
    <w:p w14:paraId="20557859">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4.2 投标文件的修改与撤回 </w:t>
      </w:r>
    </w:p>
    <w:p w14:paraId="5931C797">
      <w:pPr>
        <w:spacing w:line="360" w:lineRule="auto"/>
        <w:ind w:firstLine="480" w:firstLineChars="200"/>
        <w:rPr>
          <w:rFonts w:ascii="宋体" w:hAnsi="宋体" w:cs="宋体"/>
          <w:color w:val="auto"/>
          <w:sz w:val="24"/>
        </w:rPr>
      </w:pPr>
      <w:r>
        <w:rPr>
          <w:rFonts w:hint="eastAsia" w:ascii="宋体" w:hAnsi="宋体" w:cs="宋体"/>
          <w:color w:val="auto"/>
          <w:sz w:val="24"/>
        </w:rPr>
        <w:t xml:space="preserve">4.2.1 在本章供应商须知前附表规定的投标截止时间前，供应商可以修改或撤回已递交的投标文件。 </w:t>
      </w:r>
    </w:p>
    <w:p w14:paraId="77558FD9">
      <w:pPr>
        <w:pStyle w:val="3"/>
        <w:spacing w:before="0" w:after="0" w:line="360" w:lineRule="auto"/>
        <w:ind w:firstLine="482" w:firstLineChars="200"/>
        <w:rPr>
          <w:rFonts w:ascii="宋体" w:hAnsi="宋体" w:cs="宋体"/>
          <w:color w:val="auto"/>
          <w:sz w:val="24"/>
          <w:szCs w:val="24"/>
        </w:rPr>
      </w:pPr>
      <w:bookmarkStart w:id="28" w:name="_Toc187226621"/>
      <w:bookmarkStart w:id="29" w:name="_Toc21712"/>
      <w:bookmarkStart w:id="30" w:name="_Toc30757"/>
      <w:bookmarkStart w:id="31" w:name="_Toc21231"/>
      <w:r>
        <w:rPr>
          <w:rFonts w:hint="eastAsia" w:ascii="宋体" w:hAnsi="宋体" w:cs="宋体"/>
          <w:color w:val="auto"/>
          <w:sz w:val="24"/>
          <w:szCs w:val="24"/>
        </w:rPr>
        <w:t>5. 开标</w:t>
      </w:r>
      <w:bookmarkEnd w:id="28"/>
      <w:bookmarkEnd w:id="29"/>
      <w:bookmarkEnd w:id="30"/>
      <w:bookmarkEnd w:id="31"/>
      <w:r>
        <w:rPr>
          <w:rFonts w:hint="eastAsia" w:ascii="宋体" w:hAnsi="宋体" w:cs="宋体"/>
          <w:color w:val="auto"/>
          <w:sz w:val="24"/>
          <w:szCs w:val="24"/>
        </w:rPr>
        <w:t xml:space="preserve"> </w:t>
      </w:r>
    </w:p>
    <w:p w14:paraId="41D43F13">
      <w:pPr>
        <w:spacing w:line="360" w:lineRule="auto"/>
        <w:ind w:firstLine="480" w:firstLineChars="200"/>
        <w:rPr>
          <w:rFonts w:ascii="宋体" w:hAnsi="宋体" w:cs="宋体"/>
          <w:color w:val="auto"/>
          <w:sz w:val="24"/>
        </w:rPr>
      </w:pPr>
      <w:r>
        <w:rPr>
          <w:rFonts w:hint="eastAsia" w:ascii="宋体" w:hAnsi="宋体" w:cs="宋体"/>
          <w:color w:val="auto"/>
          <w:sz w:val="24"/>
        </w:rPr>
        <w:t>5.1 采购代理机构将在“供应商须知前附表”中规定的时间和地点组织网上开标。</w:t>
      </w:r>
    </w:p>
    <w:p w14:paraId="75891B4C">
      <w:pPr>
        <w:spacing w:line="360" w:lineRule="auto"/>
        <w:ind w:firstLine="480" w:firstLineChars="200"/>
        <w:rPr>
          <w:rFonts w:ascii="宋体" w:hAnsi="宋体" w:cs="宋体"/>
          <w:color w:val="auto"/>
          <w:sz w:val="24"/>
        </w:rPr>
      </w:pPr>
      <w:r>
        <w:rPr>
          <w:rFonts w:hint="eastAsia" w:ascii="宋体" w:hAnsi="宋体" w:cs="宋体"/>
          <w:color w:val="auto"/>
          <w:sz w:val="24"/>
        </w:rPr>
        <w:t>5.2 投标截止时间结束后参加投标的供应商不足三家的，停止开标。</w:t>
      </w:r>
    </w:p>
    <w:p w14:paraId="312EC0E6">
      <w:pPr>
        <w:spacing w:line="360" w:lineRule="auto"/>
        <w:ind w:firstLine="480" w:firstLineChars="200"/>
        <w:rPr>
          <w:rFonts w:ascii="宋体" w:hAnsi="宋体" w:cs="宋体"/>
          <w:color w:val="auto"/>
          <w:sz w:val="24"/>
        </w:rPr>
      </w:pPr>
      <w:r>
        <w:rPr>
          <w:rFonts w:hint="eastAsia" w:ascii="宋体" w:hAnsi="宋体" w:cs="宋体"/>
          <w:color w:val="auto"/>
          <w:sz w:val="24"/>
        </w:rPr>
        <w:t>5.3 开标程序：</w:t>
      </w:r>
    </w:p>
    <w:p w14:paraId="0E5EB9A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开标会由采购代理机构主持，具体流程如下：</w:t>
      </w:r>
    </w:p>
    <w:p w14:paraId="0A2BE19F">
      <w:pPr>
        <w:numPr>
          <w:ilvl w:val="0"/>
          <w:numId w:val="4"/>
        </w:num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开标：</w:t>
      </w:r>
      <w:r>
        <w:rPr>
          <w:rFonts w:hint="eastAsia" w:ascii="宋体" w:hAnsi="宋体" w:eastAsia="宋体" w:cs="宋体"/>
          <w:color w:val="auto"/>
          <w:sz w:val="24"/>
        </w:rPr>
        <w:t>采购代理机构依托电子交易平台发起开始解密指令，投标人须使用加密时所用的CA锁按平台提示和招标文件的规定登录到“政采云”平台电子开标大厅签到，并在发起解密指令之时起</w:t>
      </w:r>
      <w:r>
        <w:rPr>
          <w:rFonts w:hint="eastAsia" w:ascii="宋体" w:hAnsi="宋体" w:eastAsia="宋体" w:cs="宋体"/>
          <w:color w:val="auto"/>
          <w:sz w:val="24"/>
          <w:lang w:val="en-US" w:eastAsia="zh-CN"/>
        </w:rPr>
        <w:t>3</w:t>
      </w:r>
      <w:r>
        <w:rPr>
          <w:rFonts w:hint="eastAsia" w:ascii="宋体" w:hAnsi="宋体" w:eastAsia="宋体" w:cs="宋体"/>
          <w:color w:val="auto"/>
          <w:sz w:val="24"/>
        </w:rPr>
        <w:t>0分钟内完成对电子投标文件在线解密。</w:t>
      </w:r>
    </w:p>
    <w:p w14:paraId="37F5FD4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2</w:t>
      </w:r>
      <w:r>
        <w:rPr>
          <w:rFonts w:hint="eastAsia" w:ascii="宋体" w:hAnsi="宋体" w:eastAsia="宋体" w:cs="宋体"/>
          <w:color w:val="auto"/>
          <w:sz w:val="24"/>
        </w:rPr>
        <w:t>）发起解密指令之时起</w:t>
      </w:r>
      <w:r>
        <w:rPr>
          <w:rFonts w:hint="eastAsia" w:ascii="宋体" w:hAnsi="宋体" w:eastAsia="宋体" w:cs="宋体"/>
          <w:color w:val="auto"/>
          <w:sz w:val="24"/>
          <w:lang w:val="en-US" w:eastAsia="zh-CN"/>
        </w:rPr>
        <w:t>20</w:t>
      </w:r>
      <w:r>
        <w:rPr>
          <w:rFonts w:hint="eastAsia" w:ascii="宋体" w:hAnsi="宋体" w:eastAsia="宋体" w:cs="宋体"/>
          <w:color w:val="auto"/>
          <w:sz w:val="24"/>
        </w:rPr>
        <w:t>分钟内投标人还未进行解密的，代理机构可通知投标人，投标人未预留联系方式或预留联系方式无效，导致代理机构无法联系到投标人进行解密的，视为撤回投标文件。</w:t>
      </w:r>
    </w:p>
    <w:p w14:paraId="1176E86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3</w:t>
      </w:r>
      <w:r>
        <w:rPr>
          <w:rFonts w:hint="eastAsia" w:ascii="宋体" w:hAnsi="宋体" w:eastAsia="宋体" w:cs="宋体"/>
          <w:color w:val="auto"/>
          <w:sz w:val="24"/>
          <w:lang w:eastAsia="zh-CN"/>
        </w:rPr>
        <w:t>）</w:t>
      </w:r>
      <w:r>
        <w:rPr>
          <w:rFonts w:hint="eastAsia" w:ascii="宋体" w:hAnsi="宋体" w:eastAsia="宋体" w:cs="宋体"/>
          <w:color w:val="auto"/>
          <w:sz w:val="24"/>
        </w:rPr>
        <w:t>唱标：按照政采云平台自动读取投标人在其电子投标文件中、投标价格和采购文件规定的需要宣布的其他内容。</w:t>
      </w:r>
    </w:p>
    <w:p w14:paraId="532AB29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w:t>
      </w:r>
      <w:r>
        <w:rPr>
          <w:rFonts w:hint="eastAsia" w:ascii="宋体" w:hAnsi="宋体" w:eastAsia="宋体" w:cs="宋体"/>
          <w:color w:val="auto"/>
          <w:sz w:val="24"/>
        </w:rPr>
        <w:t>开标工作人员将做开标记录。</w:t>
      </w:r>
    </w:p>
    <w:p w14:paraId="54AC888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w:t>
      </w:r>
      <w:r>
        <w:rPr>
          <w:rFonts w:hint="eastAsia" w:ascii="宋体" w:hAnsi="宋体" w:eastAsia="宋体" w:cs="宋体"/>
          <w:color w:val="auto"/>
          <w:sz w:val="24"/>
        </w:rPr>
        <w:t>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p>
    <w:p w14:paraId="721F6B0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6</w:t>
      </w:r>
      <w:r>
        <w:rPr>
          <w:rFonts w:hint="eastAsia" w:ascii="宋体" w:hAnsi="宋体" w:eastAsia="宋体" w:cs="宋体"/>
          <w:color w:val="auto"/>
          <w:sz w:val="24"/>
          <w:lang w:eastAsia="zh-CN"/>
        </w:rPr>
        <w:t>）</w:t>
      </w:r>
      <w:r>
        <w:rPr>
          <w:rFonts w:hint="eastAsia" w:ascii="宋体" w:hAnsi="宋体" w:eastAsia="宋体" w:cs="宋体"/>
          <w:color w:val="auto"/>
          <w:sz w:val="24"/>
        </w:rPr>
        <w:t>开标会议结束。</w:t>
      </w:r>
    </w:p>
    <w:p w14:paraId="1ABC229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5.4</w:t>
      </w:r>
      <w:r>
        <w:rPr>
          <w:rFonts w:hint="eastAsia" w:ascii="宋体" w:hAnsi="宋体" w:eastAsia="宋体" w:cs="宋体"/>
          <w:color w:val="auto"/>
          <w:sz w:val="24"/>
        </w:rPr>
        <w:t>投标人代表对开标过程和开标记录有异议，以及认为采购人、采购代理机构相关工作人员有需要回避的情形的，应在线提出询问或者回避申请。采购人、采购代理机构对投标人代表提出的询问或者回避申请应当及时处理并记录在案。</w:t>
      </w:r>
    </w:p>
    <w:p w14:paraId="61C59C94">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5.5投标文件如果出现计算或表达上的错误，修正错误的原则如下：</w:t>
      </w:r>
    </w:p>
    <w:p w14:paraId="2A5145BF">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（1）投标文件中开标一览表（报价表）内容与投标文件中</w:t>
      </w:r>
      <w:r>
        <w:rPr>
          <w:rFonts w:hint="default" w:ascii="宋体" w:hAnsi="宋体" w:eastAsia="宋体" w:cs="宋体"/>
          <w:color w:val="auto"/>
          <w:kern w:val="2"/>
          <w:sz w:val="24"/>
          <w:szCs w:val="24"/>
          <w:lang w:val="en-US" w:eastAsia="zh-CN" w:bidi="ar-SA"/>
        </w:rPr>
        <w:t>相</w:t>
      </w:r>
      <w:r>
        <w:rPr>
          <w:rFonts w:hint="eastAsia" w:ascii="宋体" w:hAnsi="宋体" w:eastAsia="宋体" w:cs="宋体"/>
          <w:color w:val="auto"/>
          <w:kern w:val="2"/>
          <w:sz w:val="24"/>
          <w:szCs w:val="24"/>
          <w:lang w:val="en-US" w:eastAsia="zh-CN" w:bidi="ar-SA"/>
        </w:rPr>
        <w:t>应内容不一致的，以开标一览表（报价表）为准；</w:t>
      </w:r>
    </w:p>
    <w:p w14:paraId="5D647E27">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（2）大写金额和小写金额不一致的，以大写金额为准；</w:t>
      </w:r>
    </w:p>
    <w:p w14:paraId="303CC33F">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（3）单价金额小数点或者百分比有明显错位的，以开标一览表的总价为准，并修改单价；</w:t>
      </w:r>
    </w:p>
    <w:p w14:paraId="38BAE9CE">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（4）总价金额与按单价汇总金额不一致的，以单价金额计算结果为准。</w:t>
      </w:r>
    </w:p>
    <w:p w14:paraId="609BDEDF">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（5）按上述修正错误的原则及方法调整或修正投标文件的投标报价，投标人同意后，调整后的投标报价对投标人起约束作用。如果投标人不接受修正后的报价，则其投标无效。</w:t>
      </w:r>
    </w:p>
    <w:p w14:paraId="12731E9F">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6.资格审查</w:t>
      </w:r>
    </w:p>
    <w:p w14:paraId="21243B09">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lang w:eastAsia="zh-CN"/>
        </w:rPr>
      </w:pPr>
      <w:r>
        <w:rPr>
          <w:rFonts w:hint="eastAsia" w:ascii="宋体" w:hAnsi="宋体" w:eastAsia="宋体" w:cs="宋体"/>
          <w:color w:val="auto"/>
          <w:kern w:val="2"/>
          <w:sz w:val="24"/>
          <w:szCs w:val="24"/>
          <w:lang w:val="en-US" w:eastAsia="zh-CN" w:bidi="ar-SA"/>
        </w:rPr>
        <w:t>6.1按照《政府采购货物和服务招标投标管理办法（财政部令第87号）》第四十四条“公开招标采购项目开标结束后，采购人或者采购代理机构应当依法对投标人的资格进行审查”的要求；公开招标采购项目开标结束后，采购人或者采购代理机构依法对投标人的资格进行审查。</w:t>
      </w:r>
    </w:p>
    <w:p w14:paraId="260B4F22">
      <w:pPr>
        <w:pStyle w:val="3"/>
        <w:spacing w:before="0" w:after="0" w:line="360" w:lineRule="auto"/>
        <w:ind w:firstLine="482" w:firstLineChars="200"/>
        <w:rPr>
          <w:rFonts w:ascii="宋体" w:hAnsi="宋体" w:cs="宋体"/>
          <w:color w:val="auto"/>
          <w:sz w:val="24"/>
          <w:szCs w:val="24"/>
        </w:rPr>
      </w:pPr>
      <w:bookmarkStart w:id="32" w:name="_Toc20126"/>
      <w:bookmarkStart w:id="33" w:name="_Toc12810"/>
      <w:bookmarkStart w:id="34" w:name="_Toc30262"/>
      <w:r>
        <w:rPr>
          <w:rFonts w:hint="eastAsia" w:ascii="宋体" w:hAnsi="宋体" w:cs="宋体"/>
          <w:color w:val="auto"/>
          <w:sz w:val="24"/>
          <w:szCs w:val="24"/>
          <w:lang w:val="en-US" w:eastAsia="zh-CN"/>
        </w:rPr>
        <w:t>7</w:t>
      </w:r>
      <w:r>
        <w:rPr>
          <w:rFonts w:hint="eastAsia" w:ascii="宋体" w:hAnsi="宋体" w:cs="宋体"/>
          <w:color w:val="auto"/>
          <w:sz w:val="24"/>
          <w:szCs w:val="24"/>
        </w:rPr>
        <w:t>. 评标</w:t>
      </w:r>
      <w:bookmarkEnd w:id="32"/>
      <w:bookmarkEnd w:id="33"/>
      <w:bookmarkEnd w:id="34"/>
      <w:r>
        <w:rPr>
          <w:rFonts w:hint="eastAsia" w:ascii="宋体" w:hAnsi="宋体" w:cs="宋体"/>
          <w:color w:val="auto"/>
          <w:sz w:val="24"/>
          <w:szCs w:val="24"/>
        </w:rPr>
        <w:t xml:space="preserve"> </w:t>
      </w:r>
    </w:p>
    <w:p w14:paraId="0DA5AE54">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 xml:space="preserve">.1 评标小组 </w:t>
      </w:r>
    </w:p>
    <w:p w14:paraId="5C8ADEDF">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.1.1 评标小组由采购人代表和评审专家共</w:t>
      </w:r>
      <w:r>
        <w:rPr>
          <w:rFonts w:ascii="宋体" w:hAnsi="宋体" w:cs="宋体"/>
          <w:color w:val="auto"/>
          <w:sz w:val="24"/>
        </w:rPr>
        <w:t>5</w:t>
      </w:r>
      <w:r>
        <w:rPr>
          <w:rFonts w:hint="eastAsia" w:ascii="宋体" w:hAnsi="宋体" w:cs="宋体"/>
          <w:color w:val="auto"/>
          <w:sz w:val="24"/>
        </w:rPr>
        <w:t>人以上单数组成，其中评审专家人数不得少于评标小组成员总数的2/3。采购人代表不得以评审专家身份参加本部门或本单位采购项目的评审。采购代理机构人员不得参加本机构代理的采购项目的评审。</w:t>
      </w:r>
    </w:p>
    <w:p w14:paraId="0683BDA7">
      <w:pPr>
        <w:spacing w:line="360" w:lineRule="auto"/>
        <w:ind w:firstLine="480" w:firstLineChars="200"/>
        <w:rPr>
          <w:rFonts w:ascii="宋体" w:hAnsi="宋体" w:cs="宋体"/>
          <w:color w:val="auto"/>
          <w:sz w:val="24"/>
        </w:rPr>
      </w:pPr>
      <w:r>
        <w:rPr>
          <w:rFonts w:hint="eastAsia" w:ascii="宋体" w:hAnsi="宋体" w:cs="宋体"/>
          <w:color w:val="auto"/>
          <w:sz w:val="24"/>
        </w:rPr>
        <w:t>采用公开招标方式的政府采购项目，评审专家应当从政府采购评审专家库内相关专业的专家名单中随机抽取。通过随机方式难以确定合适的评审专家的项目，经主管预算单位同意，可以自行选定评审专家。</w:t>
      </w:r>
    </w:p>
    <w:p w14:paraId="3B925B09">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.1.2 评标小组成员有下列情形之一的，应当回避：</w:t>
      </w:r>
    </w:p>
    <w:p w14:paraId="680EFFC5">
      <w:pPr>
        <w:spacing w:line="360" w:lineRule="auto"/>
        <w:ind w:firstLine="480" w:firstLineChars="200"/>
        <w:rPr>
          <w:rFonts w:ascii="宋体" w:hAnsi="宋体" w:cs="宋体"/>
          <w:color w:val="auto"/>
          <w:sz w:val="24"/>
        </w:rPr>
      </w:pPr>
      <w:r>
        <w:rPr>
          <w:rFonts w:hint="eastAsia" w:ascii="宋体" w:hAnsi="宋体" w:cs="宋体"/>
          <w:color w:val="auto"/>
          <w:sz w:val="24"/>
        </w:rPr>
        <w:t>（1）采购人或供应商的主要负责人的近亲属；</w:t>
      </w:r>
    </w:p>
    <w:p w14:paraId="5C743E83">
      <w:pPr>
        <w:spacing w:line="360" w:lineRule="auto"/>
        <w:ind w:firstLine="480" w:firstLineChars="200"/>
        <w:rPr>
          <w:rFonts w:ascii="宋体" w:hAnsi="宋体" w:cs="宋体"/>
          <w:color w:val="auto"/>
          <w:sz w:val="24"/>
        </w:rPr>
      </w:pPr>
      <w:r>
        <w:rPr>
          <w:rFonts w:hint="eastAsia" w:ascii="宋体" w:hAnsi="宋体" w:cs="宋体"/>
          <w:color w:val="auto"/>
          <w:sz w:val="24"/>
        </w:rPr>
        <w:t>（2）项目主管部门或者行政监督部门的人员；</w:t>
      </w:r>
    </w:p>
    <w:p w14:paraId="528AC39D">
      <w:pPr>
        <w:spacing w:line="360" w:lineRule="auto"/>
        <w:ind w:firstLine="480" w:firstLineChars="200"/>
        <w:rPr>
          <w:rFonts w:ascii="宋体" w:hAnsi="宋体" w:cs="宋体"/>
          <w:color w:val="auto"/>
          <w:sz w:val="24"/>
        </w:rPr>
      </w:pPr>
      <w:r>
        <w:rPr>
          <w:rFonts w:hint="eastAsia" w:ascii="宋体" w:hAnsi="宋体" w:cs="宋体"/>
          <w:color w:val="auto"/>
          <w:sz w:val="24"/>
        </w:rPr>
        <w:t>（3）与供应商有经济利益关系，可能影响公正评审的；</w:t>
      </w:r>
    </w:p>
    <w:p w14:paraId="655FBA3C">
      <w:pPr>
        <w:spacing w:line="360" w:lineRule="auto"/>
        <w:ind w:firstLine="480" w:firstLineChars="200"/>
        <w:rPr>
          <w:rFonts w:ascii="宋体" w:hAnsi="宋体" w:cs="宋体"/>
          <w:color w:val="auto"/>
          <w:sz w:val="24"/>
        </w:rPr>
      </w:pPr>
      <w:r>
        <w:rPr>
          <w:rFonts w:hint="eastAsia" w:ascii="宋体" w:hAnsi="宋体" w:cs="宋体"/>
          <w:color w:val="auto"/>
          <w:sz w:val="24"/>
        </w:rPr>
        <w:t>（4）曾因在采购、评标以及其他与采购投标有关活动中从事违法行为而受过行政处罚或刑事处罚的。</w:t>
      </w:r>
    </w:p>
    <w:p w14:paraId="215CBC7E">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.2 评标原则</w:t>
      </w:r>
    </w:p>
    <w:p w14:paraId="170EDA5A">
      <w:pPr>
        <w:spacing w:line="360" w:lineRule="auto"/>
        <w:ind w:firstLine="480" w:firstLineChars="200"/>
        <w:rPr>
          <w:rFonts w:hint="eastAsia" w:ascii="宋体" w:hAnsi="宋体" w:cs="宋体"/>
          <w:color w:val="auto"/>
          <w:sz w:val="24"/>
        </w:rPr>
      </w:pPr>
      <w:r>
        <w:rPr>
          <w:rFonts w:hint="eastAsia" w:ascii="宋体" w:hAnsi="宋体" w:cs="宋体"/>
          <w:color w:val="auto"/>
          <w:sz w:val="24"/>
        </w:rPr>
        <w:t>评标活动遵循客观、公正、审慎的原则。</w:t>
      </w:r>
    </w:p>
    <w:p w14:paraId="14D0B5D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7.3</w:t>
      </w:r>
      <w:r>
        <w:rPr>
          <w:rFonts w:hint="eastAsia" w:ascii="宋体" w:hAnsi="宋体" w:eastAsia="宋体" w:cs="宋体"/>
          <w:color w:val="auto"/>
          <w:sz w:val="24"/>
        </w:rPr>
        <w:t>在招标采购中，出现下列情形之一的，应予废标</w:t>
      </w:r>
    </w:p>
    <w:p w14:paraId="6E8CC87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 符合专业条件的投标人或者对采购文件作实质响应的投标人不足3家的；</w:t>
      </w:r>
    </w:p>
    <w:p w14:paraId="72C190F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 出现影响采购公正的违法、违规行为的；</w:t>
      </w:r>
    </w:p>
    <w:p w14:paraId="7CA12C5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 投标人的报价超过采购项目预算价或最高限价的；</w:t>
      </w:r>
    </w:p>
    <w:p w14:paraId="29AB93CD">
      <w:pPr>
        <w:spacing w:line="360" w:lineRule="auto"/>
        <w:ind w:firstLine="480" w:firstLineChars="200"/>
        <w:rPr>
          <w:rFonts w:hint="eastAsia" w:ascii="宋体" w:hAnsi="宋体" w:cs="宋体"/>
          <w:color w:val="auto"/>
          <w:sz w:val="24"/>
        </w:rPr>
      </w:pPr>
      <w:r>
        <w:rPr>
          <w:rFonts w:hint="eastAsia" w:ascii="宋体" w:hAnsi="宋体" w:eastAsia="宋体" w:cs="宋体"/>
          <w:color w:val="auto"/>
          <w:sz w:val="24"/>
        </w:rPr>
        <w:t>(4) 因重大变故，采购任务取消的。</w:t>
      </w:r>
    </w:p>
    <w:p w14:paraId="725D88A6">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4</w:t>
      </w:r>
      <w:r>
        <w:rPr>
          <w:rFonts w:hint="eastAsia" w:ascii="宋体" w:hAnsi="宋体" w:cs="宋体"/>
          <w:color w:val="auto"/>
          <w:sz w:val="24"/>
        </w:rPr>
        <w:t xml:space="preserve"> 评标</w:t>
      </w:r>
    </w:p>
    <w:p w14:paraId="67EA3305">
      <w:pPr>
        <w:spacing w:line="360" w:lineRule="auto"/>
        <w:ind w:firstLine="480" w:firstLineChars="200"/>
        <w:rPr>
          <w:rFonts w:ascii="宋体" w:hAnsi="宋体" w:cs="宋体"/>
          <w:color w:val="auto"/>
          <w:sz w:val="24"/>
        </w:rPr>
      </w:pPr>
      <w:r>
        <w:rPr>
          <w:rFonts w:hint="eastAsia" w:ascii="宋体" w:hAnsi="宋体" w:cs="宋体"/>
          <w:color w:val="auto"/>
          <w:sz w:val="24"/>
        </w:rPr>
        <w:t xml:space="preserve">评标小组按照第三章“评审办法”规定的方法、评审因素、标准和程序对投标文件进行评审。第三章“评审办法”没有规定的方法、评审因素和标准，不作为评审依据。  </w:t>
      </w:r>
    </w:p>
    <w:p w14:paraId="5329473F">
      <w:pPr>
        <w:spacing w:line="360" w:lineRule="auto"/>
        <w:ind w:firstLine="480" w:firstLineChars="200"/>
        <w:rPr>
          <w:rFonts w:ascii="宋体" w:hAnsi="宋体" w:cs="宋体"/>
          <w:color w:val="auto"/>
          <w:sz w:val="24"/>
        </w:rPr>
      </w:pPr>
      <w:bookmarkStart w:id="35" w:name="_Toc28227"/>
      <w:bookmarkStart w:id="36" w:name="_Toc187226623"/>
      <w:bookmarkStart w:id="37" w:name="_Toc187226622"/>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 xml:space="preserve"> 确定中标供应商</w:t>
      </w:r>
    </w:p>
    <w:p w14:paraId="16D3F257">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.1 采购代理机构将在评审结束后2个工作日内将评审报告送采购人。</w:t>
      </w:r>
    </w:p>
    <w:p w14:paraId="1AEBD07C">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.2 采购人将在收到评审报告后5个工作日内，按照评审报告中推荐的中标候选供应商顺序确定中标供应商；也可以由评标小组在事先得到采购人授权下从“推荐的中标候选供应商顺序”中确定中标供应商。</w:t>
      </w:r>
    </w:p>
    <w:p w14:paraId="7CFC815E">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.3 采购代理机构无义务向未中标供应商解释未中标原因和退回投标文件。</w:t>
      </w:r>
    </w:p>
    <w:p w14:paraId="6527102A">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.4 中标供应商因不可抗力或者自身原因不能履行政府采购合同的，采购人可以与排位在中标供应商之后第一位的中标候选供应商协商签订政府采购合同，以此类推。也可以重新组织公开招标。</w:t>
      </w:r>
    </w:p>
    <w:p w14:paraId="040F7A3A">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.5 中标供应商确定后，中标结果将在财政部门指定的政府采购信息发布</w:t>
      </w:r>
      <w:r>
        <w:rPr>
          <w:color w:val="auto"/>
        </w:rPr>
        <w:fldChar w:fldCharType="begin"/>
      </w:r>
      <w:r>
        <w:rPr>
          <w:color w:val="auto"/>
        </w:rPr>
        <w:instrText xml:space="preserve"> HYPERLINK \l "_bookmark64" </w:instrText>
      </w:r>
      <w:r>
        <w:rPr>
          <w:color w:val="auto"/>
        </w:rPr>
        <w:fldChar w:fldCharType="separate"/>
      </w:r>
      <w:r>
        <w:rPr>
          <w:rFonts w:hint="eastAsia" w:ascii="宋体" w:hAnsi="宋体" w:cs="宋体"/>
          <w:color w:val="auto"/>
          <w:sz w:val="24"/>
        </w:rPr>
        <w:t>媒体</w:t>
      </w:r>
      <w:r>
        <w:rPr>
          <w:rFonts w:hint="eastAsia" w:ascii="宋体" w:hAnsi="宋体" w:cs="宋体"/>
          <w:color w:val="auto"/>
          <w:sz w:val="24"/>
        </w:rPr>
        <w:fldChar w:fldCharType="end"/>
      </w:r>
      <w:r>
        <w:rPr>
          <w:rFonts w:hint="eastAsia" w:ascii="宋体" w:hAnsi="宋体" w:cs="宋体"/>
          <w:color w:val="auto"/>
          <w:sz w:val="24"/>
        </w:rPr>
        <w:t>上公告。</w:t>
      </w:r>
    </w:p>
    <w:p w14:paraId="4019D7A3">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.6 在发布公告的同时，将向中标供应商发出中标通知书。</w:t>
      </w:r>
    </w:p>
    <w:p w14:paraId="742CDBB0">
      <w:pPr>
        <w:spacing w:line="360" w:lineRule="auto"/>
        <w:ind w:firstLine="480" w:firstLineChars="200"/>
        <w:rPr>
          <w:rFonts w:ascii="宋体" w:hAnsi="宋体" w:cs="宋体"/>
          <w:color w:val="auto"/>
          <w:sz w:val="24"/>
        </w:rPr>
      </w:pPr>
      <w:bookmarkStart w:id="38" w:name="_bookmark32"/>
      <w:bookmarkEnd w:id="38"/>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.7 中标无效情形</w:t>
      </w:r>
    </w:p>
    <w:p w14:paraId="338DD834">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.8 供应商有下列情形之一的，中标无效：</w:t>
      </w:r>
    </w:p>
    <w:p w14:paraId="2299B24B">
      <w:pPr>
        <w:spacing w:line="360" w:lineRule="auto"/>
        <w:ind w:firstLine="480" w:firstLineChars="200"/>
        <w:rPr>
          <w:rFonts w:ascii="宋体" w:hAnsi="宋体" w:cs="宋体"/>
          <w:color w:val="auto"/>
          <w:sz w:val="24"/>
        </w:rPr>
      </w:pPr>
      <w:r>
        <w:rPr>
          <w:rFonts w:hint="eastAsia" w:ascii="宋体" w:hAnsi="宋体" w:cs="宋体"/>
          <w:color w:val="auto"/>
          <w:sz w:val="24"/>
        </w:rPr>
        <w:t>（1）提供虚假材料谋取中标的；</w:t>
      </w:r>
    </w:p>
    <w:p w14:paraId="23186341">
      <w:pPr>
        <w:spacing w:line="360" w:lineRule="auto"/>
        <w:ind w:firstLine="480" w:firstLineChars="200"/>
        <w:rPr>
          <w:rFonts w:ascii="宋体" w:hAnsi="宋体" w:cs="宋体"/>
          <w:color w:val="auto"/>
          <w:sz w:val="24"/>
        </w:rPr>
      </w:pPr>
      <w:r>
        <w:rPr>
          <w:rFonts w:hint="eastAsia" w:ascii="宋体" w:hAnsi="宋体" w:cs="宋体"/>
          <w:color w:val="auto"/>
          <w:sz w:val="24"/>
        </w:rPr>
        <w:t>（2）采取不正当手段诋毁、排挤其他供应商的；</w:t>
      </w:r>
    </w:p>
    <w:p w14:paraId="704AA70D">
      <w:pPr>
        <w:spacing w:line="360" w:lineRule="auto"/>
        <w:ind w:firstLine="480" w:firstLineChars="200"/>
        <w:rPr>
          <w:rFonts w:ascii="宋体" w:hAnsi="宋体" w:cs="宋体"/>
          <w:color w:val="auto"/>
          <w:sz w:val="24"/>
        </w:rPr>
      </w:pPr>
      <w:r>
        <w:rPr>
          <w:rFonts w:hint="eastAsia" w:ascii="宋体" w:hAnsi="宋体" w:cs="宋体"/>
          <w:color w:val="auto"/>
          <w:sz w:val="24"/>
        </w:rPr>
        <w:t>（3）与采购人、其他供应商恶意串通的；</w:t>
      </w:r>
    </w:p>
    <w:p w14:paraId="164E7EEB">
      <w:pPr>
        <w:spacing w:line="360" w:lineRule="auto"/>
        <w:ind w:firstLine="480" w:firstLineChars="200"/>
        <w:rPr>
          <w:rFonts w:ascii="宋体" w:hAnsi="宋体" w:cs="宋体"/>
          <w:color w:val="auto"/>
          <w:sz w:val="24"/>
        </w:rPr>
      </w:pPr>
      <w:r>
        <w:rPr>
          <w:rFonts w:hint="eastAsia" w:ascii="宋体" w:hAnsi="宋体" w:cs="宋体"/>
          <w:color w:val="auto"/>
          <w:sz w:val="24"/>
        </w:rPr>
        <w:t>（4）向采购人、评审小组的组成人员行贿或者提供其他不正当利益的；</w:t>
      </w:r>
    </w:p>
    <w:p w14:paraId="7E0EF816">
      <w:pPr>
        <w:spacing w:line="360" w:lineRule="auto"/>
        <w:ind w:firstLine="480" w:firstLineChars="200"/>
        <w:rPr>
          <w:rFonts w:ascii="宋体" w:hAnsi="宋体" w:cs="宋体"/>
          <w:color w:val="auto"/>
          <w:sz w:val="24"/>
        </w:rPr>
      </w:pPr>
      <w:r>
        <w:rPr>
          <w:rFonts w:hint="eastAsia" w:ascii="宋体" w:hAnsi="宋体" w:cs="宋体"/>
          <w:color w:val="auto"/>
          <w:sz w:val="24"/>
        </w:rPr>
        <w:t>（5）在采购过程中私下与采购人进行协商、不按照采购招标文件和中标供应商的投标文件订立合同，或者与采购人另行订立背离合同实质性内容的协议的。</w:t>
      </w:r>
    </w:p>
    <w:p w14:paraId="2EF41977">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.9 评标小组成员有下列行为之一，影响中标结果的，中标结果无效。</w:t>
      </w:r>
    </w:p>
    <w:p w14:paraId="7516A5C8">
      <w:pPr>
        <w:spacing w:line="360" w:lineRule="auto"/>
        <w:ind w:firstLine="480" w:firstLineChars="200"/>
        <w:rPr>
          <w:rFonts w:ascii="宋体" w:hAnsi="宋体" w:cs="宋体"/>
          <w:color w:val="auto"/>
          <w:sz w:val="24"/>
        </w:rPr>
      </w:pPr>
      <w:r>
        <w:rPr>
          <w:rFonts w:hint="eastAsia" w:ascii="宋体" w:hAnsi="宋体" w:cs="宋体"/>
          <w:color w:val="auto"/>
          <w:sz w:val="24"/>
        </w:rPr>
        <w:t>（1）明知应当回避而未主动回避的；</w:t>
      </w:r>
    </w:p>
    <w:p w14:paraId="4236F65C">
      <w:pPr>
        <w:spacing w:line="360" w:lineRule="auto"/>
        <w:ind w:firstLine="480" w:firstLineChars="200"/>
        <w:rPr>
          <w:rFonts w:ascii="宋体" w:hAnsi="宋体" w:cs="宋体"/>
          <w:color w:val="auto"/>
          <w:sz w:val="24"/>
        </w:rPr>
      </w:pPr>
      <w:r>
        <w:rPr>
          <w:rFonts w:hint="eastAsia" w:ascii="宋体" w:hAnsi="宋体" w:cs="宋体"/>
          <w:color w:val="auto"/>
          <w:sz w:val="24"/>
        </w:rPr>
        <w:t>（2）在知道自己为评标小组成员身份后至评审结束前的时段内私下接触投标供应商的；</w:t>
      </w:r>
    </w:p>
    <w:p w14:paraId="4334704B">
      <w:pPr>
        <w:spacing w:line="360" w:lineRule="auto"/>
        <w:ind w:firstLine="480" w:firstLineChars="200"/>
        <w:rPr>
          <w:rFonts w:ascii="宋体" w:hAnsi="宋体" w:cs="宋体"/>
          <w:color w:val="auto"/>
          <w:sz w:val="24"/>
        </w:rPr>
      </w:pPr>
      <w:r>
        <w:rPr>
          <w:rFonts w:hint="eastAsia" w:ascii="宋体" w:hAnsi="宋体" w:cs="宋体"/>
          <w:color w:val="auto"/>
          <w:sz w:val="24"/>
        </w:rPr>
        <w:t>（3）在评审过程中擅离职守，影响评审程序正常进行的；</w:t>
      </w:r>
    </w:p>
    <w:p w14:paraId="663C863C">
      <w:pPr>
        <w:spacing w:line="360" w:lineRule="auto"/>
        <w:ind w:firstLine="480" w:firstLineChars="200"/>
        <w:rPr>
          <w:rFonts w:ascii="宋体" w:hAnsi="宋体" w:cs="宋体"/>
          <w:color w:val="auto"/>
          <w:sz w:val="24"/>
        </w:rPr>
      </w:pPr>
      <w:r>
        <w:rPr>
          <w:rFonts w:hint="eastAsia" w:ascii="宋体" w:hAnsi="宋体" w:cs="宋体"/>
          <w:color w:val="auto"/>
          <w:sz w:val="24"/>
        </w:rPr>
        <w:t>（4）在评审过程中有明显不合理或者不正当倾向性的；</w:t>
      </w:r>
    </w:p>
    <w:p w14:paraId="25169D80">
      <w:pPr>
        <w:spacing w:line="360" w:lineRule="auto"/>
        <w:ind w:firstLine="480" w:firstLineChars="200"/>
        <w:rPr>
          <w:rFonts w:ascii="宋体" w:hAnsi="宋体" w:cs="宋体"/>
          <w:color w:val="auto"/>
          <w:sz w:val="24"/>
        </w:rPr>
      </w:pPr>
      <w:r>
        <w:rPr>
          <w:rFonts w:hint="eastAsia" w:ascii="宋体" w:hAnsi="宋体" w:cs="宋体"/>
          <w:color w:val="auto"/>
          <w:sz w:val="24"/>
        </w:rPr>
        <w:t>（5）未按采购招标文件规定的评审方法和标准进行评审的。</w:t>
      </w:r>
    </w:p>
    <w:p w14:paraId="1B734084">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.10 有本采购招标文件规定的中标无效情形的，由同级或其上级财政部门认定中标无效。中标无效的，将依照本采购招标文件规定从其他中标供应商或者中标候选人中重新确定，或者依照本采购招标文件重新进行招标。</w:t>
      </w:r>
    </w:p>
    <w:p w14:paraId="5A6A5DCE">
      <w:pPr>
        <w:pStyle w:val="3"/>
        <w:spacing w:before="0" w:after="0" w:line="360" w:lineRule="auto"/>
        <w:ind w:firstLine="482" w:firstLineChars="200"/>
        <w:rPr>
          <w:rFonts w:ascii="宋体" w:hAnsi="宋体" w:cs="宋体"/>
          <w:color w:val="auto"/>
          <w:sz w:val="24"/>
          <w:szCs w:val="24"/>
        </w:rPr>
      </w:pPr>
      <w:bookmarkStart w:id="39" w:name="_Toc5854"/>
      <w:bookmarkStart w:id="40" w:name="_Toc3088"/>
      <w:r>
        <w:rPr>
          <w:rFonts w:hint="eastAsia" w:ascii="宋体" w:hAnsi="宋体" w:cs="宋体"/>
          <w:color w:val="auto"/>
          <w:sz w:val="24"/>
          <w:szCs w:val="24"/>
          <w:lang w:val="en-US" w:eastAsia="zh-CN"/>
        </w:rPr>
        <w:t>8</w:t>
      </w:r>
      <w:r>
        <w:rPr>
          <w:rFonts w:hint="eastAsia" w:ascii="宋体" w:hAnsi="宋体" w:cs="宋体"/>
          <w:color w:val="auto"/>
          <w:sz w:val="24"/>
          <w:szCs w:val="24"/>
        </w:rPr>
        <w:t>. 合同授予</w:t>
      </w:r>
      <w:bookmarkEnd w:id="35"/>
      <w:bookmarkEnd w:id="36"/>
      <w:bookmarkEnd w:id="39"/>
      <w:bookmarkEnd w:id="40"/>
      <w:r>
        <w:rPr>
          <w:rFonts w:hint="eastAsia" w:ascii="宋体" w:hAnsi="宋体" w:cs="宋体"/>
          <w:color w:val="auto"/>
          <w:sz w:val="24"/>
          <w:szCs w:val="24"/>
        </w:rPr>
        <w:t xml:space="preserve"> </w:t>
      </w:r>
    </w:p>
    <w:p w14:paraId="289D0A11">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.1 定标方式</w:t>
      </w:r>
    </w:p>
    <w:p w14:paraId="7535D8AD">
      <w:pPr>
        <w:spacing w:line="360" w:lineRule="auto"/>
        <w:ind w:firstLine="480" w:firstLineChars="200"/>
        <w:rPr>
          <w:rFonts w:ascii="宋体" w:hAnsi="宋体" w:cs="宋体"/>
          <w:color w:val="auto"/>
          <w:sz w:val="24"/>
        </w:rPr>
      </w:pPr>
      <w:r>
        <w:rPr>
          <w:rFonts w:hint="eastAsia" w:ascii="宋体" w:hAnsi="宋体" w:cs="宋体"/>
          <w:color w:val="auto"/>
          <w:sz w:val="24"/>
        </w:rPr>
        <w:t>除供应商须知前附表规定评标小组直接确定中标供应商外，采购人依据评标小组推荐的中标候选人确定中标供应商，评标小组推荐中标候选人的人数见供应商须知前附表。</w:t>
      </w:r>
    </w:p>
    <w:p w14:paraId="0DE52F79">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.2 中标通知</w:t>
      </w:r>
    </w:p>
    <w:p w14:paraId="4C0F1D23">
      <w:pPr>
        <w:spacing w:line="360" w:lineRule="auto"/>
        <w:ind w:firstLine="480" w:firstLineChars="200"/>
        <w:rPr>
          <w:rFonts w:ascii="宋体" w:hAnsi="宋体" w:cs="宋体"/>
          <w:color w:val="auto"/>
          <w:sz w:val="24"/>
        </w:rPr>
      </w:pPr>
      <w:r>
        <w:rPr>
          <w:rFonts w:hint="eastAsia" w:ascii="宋体" w:hAnsi="宋体" w:cs="宋体"/>
          <w:color w:val="auto"/>
          <w:sz w:val="24"/>
        </w:rPr>
        <w:t>在本章第3.3款规定的投标有效期内，采购人以书面形式向中标供应商发出中标通知书，同时将中标结果通知未中标的供应商。</w:t>
      </w:r>
    </w:p>
    <w:p w14:paraId="0FAA8FF9">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.3 招标代理服务费</w:t>
      </w:r>
    </w:p>
    <w:p w14:paraId="43E42B4A">
      <w:pPr>
        <w:pStyle w:val="10"/>
        <w:spacing w:line="360" w:lineRule="auto"/>
        <w:ind w:firstLine="480" w:firstLineChars="200"/>
        <w:rPr>
          <w:rFonts w:hAnsi="宋体" w:cs="宋体"/>
          <w:color w:val="auto"/>
          <w:kern w:val="0"/>
          <w:sz w:val="24"/>
        </w:rPr>
      </w:pPr>
      <w:r>
        <w:rPr>
          <w:rFonts w:hint="eastAsia" w:hAnsi="宋体" w:cs="宋体"/>
          <w:color w:val="auto"/>
          <w:kern w:val="0"/>
          <w:sz w:val="24"/>
          <w:lang w:val="en-US" w:eastAsia="zh-CN"/>
        </w:rPr>
        <w:t>8</w:t>
      </w:r>
      <w:r>
        <w:rPr>
          <w:rFonts w:hint="eastAsia" w:hAnsi="宋体" w:cs="宋体"/>
          <w:color w:val="auto"/>
          <w:kern w:val="0"/>
          <w:sz w:val="24"/>
        </w:rPr>
        <w:t>.3.1 采购代理机构向</w:t>
      </w:r>
      <w:r>
        <w:rPr>
          <w:rFonts w:hint="eastAsia" w:hAnsi="宋体" w:cs="宋体"/>
          <w:color w:val="auto"/>
          <w:sz w:val="24"/>
        </w:rPr>
        <w:t>中标</w:t>
      </w:r>
      <w:r>
        <w:rPr>
          <w:rFonts w:hint="eastAsia" w:hAnsi="宋体" w:cs="宋体"/>
          <w:color w:val="auto"/>
          <w:kern w:val="0"/>
          <w:sz w:val="24"/>
        </w:rPr>
        <w:t>人收取中标服务费，收取标准详见“</w:t>
      </w:r>
      <w:r>
        <w:rPr>
          <w:rFonts w:hint="eastAsia" w:hAnsi="宋体" w:cs="宋体"/>
          <w:b/>
          <w:color w:val="auto"/>
          <w:kern w:val="0"/>
          <w:sz w:val="24"/>
        </w:rPr>
        <w:t>供应商须知前附表</w:t>
      </w:r>
      <w:r>
        <w:rPr>
          <w:rFonts w:hint="eastAsia" w:hAnsi="宋体" w:cs="宋体"/>
          <w:color w:val="auto"/>
          <w:kern w:val="0"/>
          <w:sz w:val="24"/>
        </w:rPr>
        <w:t xml:space="preserve">”。  </w:t>
      </w:r>
    </w:p>
    <w:p w14:paraId="02CCB719">
      <w:pPr>
        <w:pStyle w:val="10"/>
        <w:spacing w:line="360" w:lineRule="auto"/>
        <w:ind w:firstLine="480" w:firstLineChars="200"/>
        <w:rPr>
          <w:rFonts w:hAnsi="宋体" w:cs="宋体"/>
          <w:color w:val="auto"/>
          <w:kern w:val="0"/>
          <w:sz w:val="24"/>
        </w:rPr>
      </w:pPr>
      <w:r>
        <w:rPr>
          <w:rFonts w:hint="eastAsia" w:hAnsi="宋体" w:cs="宋体"/>
          <w:color w:val="auto"/>
          <w:kern w:val="0"/>
          <w:sz w:val="24"/>
          <w:lang w:val="en-US" w:eastAsia="zh-CN"/>
        </w:rPr>
        <w:t>8</w:t>
      </w:r>
      <w:r>
        <w:rPr>
          <w:rFonts w:hint="eastAsia" w:hAnsi="宋体" w:cs="宋体"/>
          <w:color w:val="auto"/>
          <w:kern w:val="0"/>
          <w:sz w:val="24"/>
        </w:rPr>
        <w:t xml:space="preserve">.3.2 </w:t>
      </w:r>
      <w:r>
        <w:rPr>
          <w:rFonts w:hint="eastAsia" w:hAnsi="宋体" w:cs="宋体"/>
          <w:color w:val="auto"/>
          <w:sz w:val="24"/>
        </w:rPr>
        <w:t>中标</w:t>
      </w:r>
      <w:r>
        <w:rPr>
          <w:rFonts w:hint="eastAsia" w:hAnsi="宋体" w:cs="宋体"/>
          <w:color w:val="auto"/>
          <w:kern w:val="0"/>
          <w:sz w:val="24"/>
        </w:rPr>
        <w:t>人应在接受“</w:t>
      </w:r>
      <w:r>
        <w:rPr>
          <w:rFonts w:hint="eastAsia" w:hAnsi="宋体" w:cs="宋体"/>
          <w:color w:val="auto"/>
          <w:sz w:val="24"/>
        </w:rPr>
        <w:t>中标</w:t>
      </w:r>
      <w:r>
        <w:rPr>
          <w:rFonts w:hint="eastAsia" w:hAnsi="宋体" w:cs="宋体"/>
          <w:b/>
          <w:color w:val="auto"/>
          <w:kern w:val="0"/>
          <w:sz w:val="24"/>
        </w:rPr>
        <w:t>通知书</w:t>
      </w:r>
      <w:r>
        <w:rPr>
          <w:rFonts w:hint="eastAsia" w:hAnsi="宋体" w:cs="宋体"/>
          <w:color w:val="auto"/>
          <w:kern w:val="0"/>
          <w:sz w:val="24"/>
        </w:rPr>
        <w:t>”前向采购代理机构一次付清代理服务费。</w:t>
      </w:r>
    </w:p>
    <w:p w14:paraId="48668F3F">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 xml:space="preserve">.4 履约担保 </w:t>
      </w:r>
    </w:p>
    <w:p w14:paraId="77E88ED6">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 xml:space="preserve">.4.1本项目不缴纳履约保证金。 </w:t>
      </w:r>
    </w:p>
    <w:p w14:paraId="79D9B384">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 xml:space="preserve">.5 签订合同 </w:t>
      </w:r>
    </w:p>
    <w:p w14:paraId="190708D1">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.5.1 采购人和中标供应商应当自中标通知书发出之日起30天内，根据采购招标文件和中标供应商的投标文件订立书面合同。中标供应商无正当理由拒签合同的，采购人取消其中标资格；给采购人造成损失的中标供应商当予以赔偿。</w:t>
      </w:r>
    </w:p>
    <w:p w14:paraId="1F73921B">
      <w:pPr>
        <w:spacing w:line="360" w:lineRule="auto"/>
        <w:ind w:firstLine="480" w:firstLineChars="200"/>
        <w:rPr>
          <w:rFonts w:hint="eastAsia"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 xml:space="preserve">.5.2 发出中标通知书后，采购人无正当理由拒签合同的，给中标供应商造成损失的，还应当赔偿损失。 </w:t>
      </w:r>
    </w:p>
    <w:p w14:paraId="1BC01AD3">
      <w:pPr>
        <w:pStyle w:val="3"/>
        <w:spacing w:before="0" w:after="0" w:line="360" w:lineRule="auto"/>
        <w:ind w:firstLine="482" w:firstLineChars="200"/>
        <w:rPr>
          <w:rFonts w:hint="eastAsia" w:ascii="宋体" w:hAnsi="宋体" w:cs="宋体"/>
          <w:color w:val="auto"/>
          <w:sz w:val="24"/>
          <w:szCs w:val="24"/>
        </w:rPr>
      </w:pPr>
      <w:bookmarkStart w:id="41" w:name="_Toc17548"/>
      <w:r>
        <w:rPr>
          <w:rFonts w:hint="eastAsia" w:ascii="宋体" w:hAnsi="宋体" w:cs="宋体"/>
          <w:color w:val="auto"/>
          <w:sz w:val="24"/>
          <w:szCs w:val="24"/>
          <w:lang w:val="en-US" w:eastAsia="zh-CN"/>
        </w:rPr>
        <w:t>9.</w:t>
      </w:r>
      <w:r>
        <w:rPr>
          <w:rFonts w:hint="eastAsia" w:ascii="宋体" w:hAnsi="宋体" w:cs="宋体"/>
          <w:color w:val="auto"/>
          <w:sz w:val="24"/>
          <w:szCs w:val="24"/>
        </w:rPr>
        <w:t>低于成本价不正当竞争预防措施</w:t>
      </w:r>
      <w:bookmarkEnd w:id="41"/>
      <w:r>
        <w:rPr>
          <w:rFonts w:hint="eastAsia" w:ascii="宋体" w:hAnsi="宋体" w:cs="宋体"/>
          <w:color w:val="auto"/>
          <w:sz w:val="24"/>
          <w:szCs w:val="24"/>
        </w:rPr>
        <w:tab/>
      </w:r>
    </w:p>
    <w:p w14:paraId="3E67F59D">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9.1</w:t>
      </w:r>
      <w:r>
        <w:rPr>
          <w:rFonts w:hint="eastAsia" w:ascii="宋体" w:hAnsi="宋体" w:eastAsia="宋体" w:cs="宋体"/>
          <w:color w:val="auto"/>
          <w:sz w:val="24"/>
        </w:rPr>
        <w:t>在评审过程中评标委员会认为</w:t>
      </w:r>
      <w:r>
        <w:rPr>
          <w:rFonts w:hint="eastAsia" w:ascii="宋体" w:hAnsi="宋体" w:eastAsia="宋体" w:cs="宋体"/>
          <w:color w:val="auto"/>
          <w:sz w:val="24"/>
          <w:lang w:eastAsia="zh-CN"/>
        </w:rPr>
        <w:t>投标人</w:t>
      </w:r>
      <w:r>
        <w:rPr>
          <w:rFonts w:hint="eastAsia" w:ascii="宋体" w:hAnsi="宋体" w:eastAsia="宋体" w:cs="宋体"/>
          <w:color w:val="auto"/>
          <w:sz w:val="24"/>
        </w:rPr>
        <w:t>的报价明显低于其他通过符合性审</w:t>
      </w:r>
      <w:r>
        <w:rPr>
          <w:rFonts w:hint="eastAsia" w:ascii="宋体" w:hAnsi="宋体" w:eastAsia="宋体" w:cs="宋体"/>
          <w:color w:val="auto"/>
          <w:sz w:val="24"/>
          <w:lang w:eastAsia="zh-CN"/>
        </w:rPr>
        <w:t>查的投标人</w:t>
      </w:r>
      <w:r>
        <w:rPr>
          <w:rFonts w:hint="eastAsia" w:ascii="宋体" w:hAnsi="宋体" w:eastAsia="宋体" w:cs="宋体"/>
          <w:color w:val="auto"/>
          <w:sz w:val="24"/>
        </w:rPr>
        <w:t>的报价，有可能影响服务质量或者不能诚信履约的，应当要求其在评审现场合理的时间内提供书面说明，必要时提交相关证明材料；</w:t>
      </w:r>
      <w:r>
        <w:rPr>
          <w:rFonts w:hint="eastAsia" w:ascii="宋体" w:hAnsi="宋体" w:eastAsia="宋体" w:cs="宋体"/>
          <w:color w:val="auto"/>
          <w:sz w:val="24"/>
          <w:lang w:eastAsia="zh-CN"/>
        </w:rPr>
        <w:t>投标人</w:t>
      </w:r>
      <w:r>
        <w:rPr>
          <w:rFonts w:hint="eastAsia" w:ascii="宋体" w:hAnsi="宋体" w:eastAsia="宋体" w:cs="宋体"/>
          <w:color w:val="auto"/>
          <w:sz w:val="24"/>
        </w:rPr>
        <w:t>不能证明其报价合理性的，评标委员会应当将其作为无效投标处理。</w:t>
      </w:r>
      <w:r>
        <w:rPr>
          <w:rFonts w:hint="eastAsia" w:ascii="宋体" w:hAnsi="宋体" w:eastAsia="宋体" w:cs="宋体"/>
          <w:color w:val="auto"/>
          <w:sz w:val="24"/>
          <w:lang w:eastAsia="zh-CN"/>
        </w:rPr>
        <w:t>投标人</w:t>
      </w:r>
      <w:r>
        <w:rPr>
          <w:rFonts w:hint="eastAsia" w:ascii="宋体" w:hAnsi="宋体" w:eastAsia="宋体" w:cs="宋体"/>
          <w:color w:val="auto"/>
          <w:sz w:val="24"/>
        </w:rPr>
        <w:t>的书面说明材料应当按照国家财务会计制度的规定要求，逐项就</w:t>
      </w:r>
      <w:r>
        <w:rPr>
          <w:rFonts w:hint="eastAsia" w:ascii="宋体" w:hAnsi="宋体" w:eastAsia="宋体" w:cs="宋体"/>
          <w:color w:val="auto"/>
          <w:sz w:val="24"/>
          <w:lang w:eastAsia="zh-CN"/>
        </w:rPr>
        <w:t>投标人</w:t>
      </w:r>
      <w:r>
        <w:rPr>
          <w:rFonts w:hint="eastAsia" w:ascii="宋体" w:hAnsi="宋体" w:eastAsia="宋体" w:cs="宋体"/>
          <w:color w:val="auto"/>
          <w:sz w:val="24"/>
        </w:rPr>
        <w:t>提供的服务的主营业务成本、税金及附加、销售费用、管理费用、财务费用等成本构成事项详细陈述</w:t>
      </w:r>
      <w:r>
        <w:rPr>
          <w:rFonts w:hint="eastAsia" w:ascii="宋体" w:hAnsi="宋体" w:eastAsia="宋体" w:cs="宋体"/>
          <w:color w:val="auto"/>
          <w:sz w:val="24"/>
          <w:lang w:eastAsia="zh-CN"/>
        </w:rPr>
        <w:t>。</w:t>
      </w:r>
    </w:p>
    <w:p w14:paraId="041349F9">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9.2</w:t>
      </w:r>
      <w:r>
        <w:rPr>
          <w:rFonts w:hint="eastAsia" w:ascii="宋体" w:hAnsi="宋体" w:eastAsia="宋体" w:cs="宋体"/>
          <w:color w:val="auto"/>
          <w:sz w:val="24"/>
          <w:lang w:eastAsia="zh-CN"/>
        </w:rPr>
        <w:t>投标人</w:t>
      </w:r>
      <w:r>
        <w:rPr>
          <w:rFonts w:hint="eastAsia" w:ascii="宋体" w:hAnsi="宋体" w:eastAsia="宋体" w:cs="宋体"/>
          <w:color w:val="auto"/>
          <w:sz w:val="24"/>
        </w:rPr>
        <w:t>书面说明应当签字确认或者加盖公章，否则无效。书面说明的签字确认，由其法定代表人或者其授权代表签字确认</w:t>
      </w:r>
      <w:r>
        <w:rPr>
          <w:rFonts w:hint="eastAsia" w:ascii="宋体" w:hAnsi="宋体" w:eastAsia="宋体" w:cs="宋体"/>
          <w:color w:val="auto"/>
          <w:sz w:val="24"/>
          <w:lang w:eastAsia="zh-CN"/>
        </w:rPr>
        <w:t>。</w:t>
      </w:r>
    </w:p>
    <w:p w14:paraId="27434A2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9.3</w:t>
      </w:r>
      <w:r>
        <w:rPr>
          <w:rFonts w:hint="eastAsia" w:ascii="宋体" w:hAnsi="宋体" w:eastAsia="宋体" w:cs="宋体"/>
          <w:color w:val="auto"/>
          <w:sz w:val="24"/>
          <w:lang w:eastAsia="zh-CN"/>
        </w:rPr>
        <w:t>投标人</w:t>
      </w:r>
      <w:r>
        <w:rPr>
          <w:rFonts w:hint="eastAsia" w:ascii="宋体" w:hAnsi="宋体" w:eastAsia="宋体" w:cs="宋体"/>
          <w:color w:val="auto"/>
          <w:sz w:val="24"/>
        </w:rPr>
        <w:t>提供书面说明后，评标委员会应当结合采购项目采购需求、专业实际情况、</w:t>
      </w:r>
      <w:r>
        <w:rPr>
          <w:rFonts w:hint="eastAsia" w:ascii="宋体" w:hAnsi="宋体" w:eastAsia="宋体" w:cs="宋体"/>
          <w:color w:val="auto"/>
          <w:sz w:val="24"/>
          <w:lang w:eastAsia="zh-CN"/>
        </w:rPr>
        <w:t>投标人</w:t>
      </w:r>
      <w:r>
        <w:rPr>
          <w:rFonts w:hint="eastAsia" w:ascii="宋体" w:hAnsi="宋体" w:eastAsia="宋体" w:cs="宋体"/>
          <w:color w:val="auto"/>
          <w:sz w:val="24"/>
        </w:rPr>
        <w:t>财务状况报告、与其他</w:t>
      </w:r>
      <w:r>
        <w:rPr>
          <w:rFonts w:hint="eastAsia" w:ascii="宋体" w:hAnsi="宋体" w:eastAsia="宋体" w:cs="宋体"/>
          <w:color w:val="auto"/>
          <w:sz w:val="24"/>
          <w:lang w:eastAsia="zh-CN"/>
        </w:rPr>
        <w:t>投标人</w:t>
      </w:r>
      <w:r>
        <w:rPr>
          <w:rFonts w:hint="eastAsia" w:ascii="宋体" w:hAnsi="宋体" w:eastAsia="宋体" w:cs="宋体"/>
          <w:color w:val="auto"/>
          <w:sz w:val="24"/>
        </w:rPr>
        <w:t>比较情况等就</w:t>
      </w:r>
      <w:r>
        <w:rPr>
          <w:rFonts w:hint="eastAsia" w:ascii="宋体" w:hAnsi="宋体" w:eastAsia="宋体" w:cs="宋体"/>
          <w:color w:val="auto"/>
          <w:sz w:val="24"/>
          <w:lang w:eastAsia="zh-CN"/>
        </w:rPr>
        <w:t>投标人</w:t>
      </w:r>
      <w:r>
        <w:rPr>
          <w:rFonts w:hint="eastAsia" w:ascii="宋体" w:hAnsi="宋体" w:eastAsia="宋体" w:cs="宋体"/>
          <w:color w:val="auto"/>
          <w:sz w:val="24"/>
        </w:rPr>
        <w:t>书面说明进行审查评价。</w:t>
      </w:r>
      <w:r>
        <w:rPr>
          <w:rFonts w:hint="eastAsia" w:ascii="宋体" w:hAnsi="宋体" w:eastAsia="宋体" w:cs="宋体"/>
          <w:color w:val="auto"/>
          <w:sz w:val="24"/>
          <w:lang w:eastAsia="zh-CN"/>
        </w:rPr>
        <w:t>投标人</w:t>
      </w:r>
      <w:r>
        <w:rPr>
          <w:rFonts w:hint="eastAsia" w:ascii="宋体" w:hAnsi="宋体" w:eastAsia="宋体" w:cs="宋体"/>
          <w:color w:val="auto"/>
          <w:sz w:val="24"/>
        </w:rPr>
        <w:t>拒绝或者变相拒绝提供有效书面说明或者书面说明不能证明其报价合理性的或未在规定时间内递交有效书面说明书的，评标委员会应当将其响应文件作为无效处理。</w:t>
      </w:r>
    </w:p>
    <w:bookmarkEnd w:id="37"/>
    <w:p w14:paraId="22356E37">
      <w:pPr>
        <w:pStyle w:val="3"/>
        <w:spacing w:before="0" w:after="0" w:line="360" w:lineRule="auto"/>
        <w:ind w:firstLine="482" w:firstLineChars="200"/>
        <w:rPr>
          <w:rFonts w:ascii="宋体" w:hAnsi="宋体" w:cs="宋体"/>
          <w:color w:val="auto"/>
          <w:sz w:val="24"/>
          <w:szCs w:val="24"/>
        </w:rPr>
      </w:pPr>
      <w:bookmarkStart w:id="42" w:name="_Toc187226625"/>
      <w:bookmarkStart w:id="43" w:name="_Toc3763"/>
      <w:bookmarkStart w:id="44" w:name="_Toc28268"/>
      <w:bookmarkStart w:id="45" w:name="_Toc23666"/>
      <w:r>
        <w:rPr>
          <w:rFonts w:hint="eastAsia" w:ascii="宋体" w:hAnsi="宋体" w:cs="宋体"/>
          <w:color w:val="auto"/>
          <w:sz w:val="24"/>
          <w:szCs w:val="24"/>
          <w:lang w:val="en-US" w:eastAsia="zh-CN"/>
        </w:rPr>
        <w:t>10</w:t>
      </w:r>
      <w:r>
        <w:rPr>
          <w:rFonts w:hint="eastAsia" w:ascii="宋体" w:hAnsi="宋体" w:cs="宋体"/>
          <w:color w:val="auto"/>
          <w:sz w:val="24"/>
          <w:szCs w:val="24"/>
        </w:rPr>
        <w:t>. 纪律和监督</w:t>
      </w:r>
      <w:bookmarkEnd w:id="42"/>
      <w:bookmarkEnd w:id="43"/>
      <w:bookmarkEnd w:id="44"/>
      <w:bookmarkEnd w:id="45"/>
      <w:r>
        <w:rPr>
          <w:rFonts w:hint="eastAsia" w:ascii="宋体" w:hAnsi="宋体" w:cs="宋体"/>
          <w:color w:val="auto"/>
          <w:sz w:val="24"/>
          <w:szCs w:val="24"/>
        </w:rPr>
        <w:t xml:space="preserve"> </w:t>
      </w:r>
    </w:p>
    <w:p w14:paraId="523D2DCF">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10</w:t>
      </w:r>
      <w:r>
        <w:rPr>
          <w:rFonts w:hint="eastAsia" w:ascii="宋体" w:hAnsi="宋体" w:cs="宋体"/>
          <w:color w:val="auto"/>
          <w:sz w:val="24"/>
        </w:rPr>
        <w:t>.1 对采购人的纪律要求</w:t>
      </w:r>
    </w:p>
    <w:p w14:paraId="703E6827">
      <w:pPr>
        <w:spacing w:line="360" w:lineRule="auto"/>
        <w:ind w:firstLine="480" w:firstLineChars="200"/>
        <w:rPr>
          <w:rFonts w:ascii="宋体" w:hAnsi="宋体" w:cs="宋体"/>
          <w:color w:val="auto"/>
          <w:sz w:val="24"/>
        </w:rPr>
      </w:pPr>
      <w:r>
        <w:rPr>
          <w:rFonts w:hint="eastAsia" w:ascii="宋体" w:hAnsi="宋体" w:cs="宋体"/>
          <w:color w:val="auto"/>
          <w:sz w:val="24"/>
        </w:rPr>
        <w:t>采购人不得泄漏</w:t>
      </w:r>
      <w:r>
        <w:rPr>
          <w:rFonts w:hint="eastAsia" w:ascii="宋体" w:hAnsi="宋体" w:cs="宋体"/>
          <w:color w:val="auto"/>
          <w:sz w:val="24"/>
          <w:lang w:eastAsia="zh-CN"/>
        </w:rPr>
        <w:t>采购</w:t>
      </w:r>
      <w:r>
        <w:rPr>
          <w:rFonts w:hint="eastAsia" w:ascii="宋体" w:hAnsi="宋体" w:cs="宋体"/>
          <w:color w:val="auto"/>
          <w:sz w:val="24"/>
        </w:rPr>
        <w:t xml:space="preserve">活动中应当保密的情况和资料，不得与供应商串通损害国家利益、社会公共利益或者他人合法权益。 </w:t>
      </w:r>
    </w:p>
    <w:p w14:paraId="02561541">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10</w:t>
      </w:r>
      <w:r>
        <w:rPr>
          <w:rFonts w:hint="eastAsia" w:ascii="宋体" w:hAnsi="宋体" w:cs="宋体"/>
          <w:color w:val="auto"/>
          <w:sz w:val="24"/>
        </w:rPr>
        <w:t>.2 对供应商的纪律要求</w:t>
      </w:r>
    </w:p>
    <w:p w14:paraId="75435C26">
      <w:pPr>
        <w:spacing w:line="360" w:lineRule="auto"/>
        <w:ind w:firstLine="480" w:firstLineChars="200"/>
        <w:rPr>
          <w:rFonts w:ascii="宋体" w:hAnsi="宋体" w:cs="宋体"/>
          <w:color w:val="auto"/>
          <w:sz w:val="24"/>
        </w:rPr>
      </w:pPr>
      <w:r>
        <w:rPr>
          <w:rFonts w:hint="eastAsia" w:ascii="宋体" w:hAnsi="宋体" w:cs="宋体"/>
          <w:color w:val="auto"/>
          <w:sz w:val="24"/>
        </w:rPr>
        <w:t>供应商不得相互串通投标或者与采购人串通投标，不得向采购人或者评标小组成员行贿谋取中标，不得以他人名义投标或者以其他方式弄虚作假骗取中标；供应商不得以任何方式干扰、影响评标工作。</w:t>
      </w:r>
    </w:p>
    <w:p w14:paraId="610AFB11">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10</w:t>
      </w:r>
      <w:r>
        <w:rPr>
          <w:rFonts w:hint="eastAsia" w:ascii="宋体" w:hAnsi="宋体" w:cs="宋体"/>
          <w:color w:val="auto"/>
          <w:sz w:val="24"/>
        </w:rPr>
        <w:t>.3 对评标小组成员的纪律要求</w:t>
      </w:r>
    </w:p>
    <w:p w14:paraId="2D6317B1">
      <w:pPr>
        <w:spacing w:line="360" w:lineRule="auto"/>
        <w:ind w:firstLine="480" w:firstLineChars="200"/>
        <w:rPr>
          <w:rFonts w:ascii="宋体" w:hAnsi="宋体" w:cs="宋体"/>
          <w:color w:val="auto"/>
          <w:sz w:val="24"/>
        </w:rPr>
      </w:pPr>
      <w:r>
        <w:rPr>
          <w:rFonts w:hint="eastAsia" w:ascii="宋体" w:hAnsi="宋体" w:cs="宋体"/>
          <w:color w:val="auto"/>
          <w:sz w:val="24"/>
        </w:rPr>
        <w:t xml:space="preserve">评标小组成员不得收受他人的财物或者其他好处，不得向他人透漏对投标文件的评审和比较、中标候选人的推荐情况以及评审有关的其他情况。在评审活动中，评标小组成员不得擅离职守，影响评审程序正常进行，不得使用第三章“评审办法”没有规定的评审因素和标准进行评审。 </w:t>
      </w:r>
    </w:p>
    <w:p w14:paraId="659A9102">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10</w:t>
      </w:r>
      <w:r>
        <w:rPr>
          <w:rFonts w:hint="eastAsia" w:ascii="宋体" w:hAnsi="宋体" w:cs="宋体"/>
          <w:color w:val="auto"/>
          <w:sz w:val="24"/>
        </w:rPr>
        <w:t>.4 对与评审活动有关的工作人员的纪律要求</w:t>
      </w:r>
    </w:p>
    <w:p w14:paraId="3D95CD9E">
      <w:pPr>
        <w:spacing w:line="360" w:lineRule="auto"/>
        <w:ind w:firstLine="480" w:firstLineChars="200"/>
        <w:rPr>
          <w:rFonts w:ascii="宋体" w:hAnsi="宋体" w:cs="宋体"/>
          <w:color w:val="auto"/>
          <w:sz w:val="24"/>
        </w:rPr>
      </w:pPr>
      <w:r>
        <w:rPr>
          <w:rFonts w:hint="eastAsia" w:ascii="宋体" w:hAnsi="宋体" w:cs="宋体"/>
          <w:color w:val="auto"/>
          <w:sz w:val="24"/>
        </w:rPr>
        <w:t>与评审活动有关的工作人员不得收受他人的财物或者其他好处，不得向他人透漏对投标文件的评审和比较、中标候选人的推荐情况以及评审有关的其他情况。在评审活动中，与评审活动有关的工作人员不得擅离职守，影响评审程序正常进行。</w:t>
      </w:r>
    </w:p>
    <w:p w14:paraId="7DFFD72D">
      <w:pPr>
        <w:spacing w:line="360" w:lineRule="auto"/>
        <w:ind w:firstLine="480" w:firstLineChars="200"/>
        <w:outlineLvl w:val="1"/>
        <w:rPr>
          <w:rFonts w:ascii="宋体" w:hAnsi="宋体" w:cs="宋体"/>
          <w:color w:val="auto"/>
          <w:sz w:val="24"/>
        </w:rPr>
      </w:pPr>
      <w:bookmarkStart w:id="46" w:name="_Toc4017"/>
      <w:bookmarkStart w:id="47" w:name="_Toc10609"/>
      <w:r>
        <w:rPr>
          <w:rFonts w:hint="eastAsia" w:ascii="宋体" w:hAnsi="宋体" w:cs="宋体"/>
          <w:color w:val="auto"/>
          <w:sz w:val="24"/>
          <w:lang w:val="en-US" w:eastAsia="zh-CN"/>
        </w:rPr>
        <w:t>11</w:t>
      </w:r>
      <w:r>
        <w:rPr>
          <w:rFonts w:hint="eastAsia" w:ascii="宋体" w:hAnsi="宋体" w:cs="宋体"/>
          <w:color w:val="auto"/>
          <w:sz w:val="24"/>
        </w:rPr>
        <w:t>.质疑与投诉</w:t>
      </w:r>
      <w:bookmarkEnd w:id="46"/>
      <w:bookmarkEnd w:id="47"/>
    </w:p>
    <w:p w14:paraId="68C42E77">
      <w:pPr>
        <w:spacing w:line="360" w:lineRule="auto"/>
        <w:ind w:firstLine="480" w:firstLineChars="200"/>
        <w:rPr>
          <w:rFonts w:ascii="宋体" w:hAnsi="宋体" w:cs="宋体"/>
          <w:color w:val="auto"/>
          <w:sz w:val="24"/>
        </w:rPr>
      </w:pPr>
      <w:r>
        <w:rPr>
          <w:rFonts w:hint="eastAsia" w:ascii="宋体" w:hAnsi="宋体" w:cs="宋体"/>
          <w:color w:val="auto"/>
          <w:sz w:val="24"/>
        </w:rPr>
        <w:t>10.1 供应商对政府采购活动事项有疑问的，可以向采购人提出询问，采购人将及时作出答复，但答复的内容不涉及商业秘密。</w:t>
      </w:r>
    </w:p>
    <w:p w14:paraId="24046772">
      <w:pPr>
        <w:spacing w:line="360" w:lineRule="auto"/>
        <w:ind w:firstLine="480" w:firstLineChars="200"/>
        <w:rPr>
          <w:rFonts w:ascii="宋体" w:hAnsi="宋体" w:cs="宋体"/>
          <w:color w:val="auto"/>
          <w:sz w:val="24"/>
        </w:rPr>
      </w:pPr>
      <w:r>
        <w:rPr>
          <w:rFonts w:hint="eastAsia" w:ascii="宋体" w:hAnsi="宋体" w:cs="宋体"/>
          <w:color w:val="auto"/>
          <w:sz w:val="24"/>
        </w:rPr>
        <w:t>10.2 供应商认为中标结果使自己的权益受到损害的，可以在知道或者应知权益受到损害之日起七个工作日内，以书面形式向采购人提出质疑。</w:t>
      </w:r>
    </w:p>
    <w:p w14:paraId="0DC259A2">
      <w:pPr>
        <w:spacing w:line="360" w:lineRule="auto"/>
        <w:ind w:firstLine="480" w:firstLineChars="200"/>
        <w:rPr>
          <w:rFonts w:ascii="宋体" w:hAnsi="宋体" w:cs="宋体"/>
          <w:color w:val="auto"/>
          <w:sz w:val="24"/>
        </w:rPr>
      </w:pPr>
      <w:r>
        <w:rPr>
          <w:rFonts w:hint="eastAsia" w:ascii="宋体" w:hAnsi="宋体" w:cs="宋体"/>
          <w:color w:val="auto"/>
          <w:sz w:val="24"/>
        </w:rPr>
        <w:t>10.3 质疑人提起质疑应当符合下列条件：</w:t>
      </w:r>
    </w:p>
    <w:p w14:paraId="26C7FD1A">
      <w:pPr>
        <w:spacing w:line="360" w:lineRule="auto"/>
        <w:ind w:firstLine="480" w:firstLineChars="200"/>
        <w:rPr>
          <w:rFonts w:ascii="宋体" w:hAnsi="宋体" w:cs="宋体"/>
          <w:color w:val="auto"/>
          <w:sz w:val="24"/>
        </w:rPr>
      </w:pPr>
      <w:r>
        <w:rPr>
          <w:rFonts w:hint="eastAsia" w:ascii="宋体" w:hAnsi="宋体" w:cs="宋体"/>
          <w:color w:val="auto"/>
          <w:sz w:val="24"/>
        </w:rPr>
        <w:t>10.3.1 质疑人是参与被质疑采购项目投标的供应商；</w:t>
      </w:r>
    </w:p>
    <w:p w14:paraId="1E6F664F">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10.3.2 质疑书的内容和形式符合10.7 条的规定，有效线索和相关证据齐全； </w:t>
      </w:r>
    </w:p>
    <w:p w14:paraId="347726E7">
      <w:pPr>
        <w:spacing w:line="360" w:lineRule="auto"/>
        <w:ind w:firstLine="480" w:firstLineChars="200"/>
        <w:rPr>
          <w:rFonts w:ascii="宋体" w:hAnsi="宋体" w:cs="宋体"/>
          <w:color w:val="auto"/>
          <w:sz w:val="24"/>
        </w:rPr>
      </w:pPr>
      <w:r>
        <w:rPr>
          <w:rFonts w:hint="eastAsia" w:ascii="宋体" w:hAnsi="宋体" w:cs="宋体"/>
          <w:color w:val="auto"/>
          <w:sz w:val="24"/>
        </w:rPr>
        <w:t>10.4 在质疑有效期限内提起质疑；</w:t>
      </w:r>
    </w:p>
    <w:p w14:paraId="202E29D4">
      <w:pPr>
        <w:spacing w:line="360" w:lineRule="auto"/>
        <w:ind w:firstLine="480" w:firstLineChars="200"/>
        <w:rPr>
          <w:rFonts w:ascii="宋体" w:hAnsi="宋体" w:cs="宋体"/>
          <w:color w:val="auto"/>
          <w:sz w:val="24"/>
        </w:rPr>
      </w:pPr>
      <w:r>
        <w:rPr>
          <w:rFonts w:hint="eastAsia" w:ascii="宋体" w:hAnsi="宋体" w:cs="宋体"/>
          <w:color w:val="auto"/>
          <w:sz w:val="24"/>
        </w:rPr>
        <w:t>10.4.1 供应商认为采购招标文件、采购过程、中标或者中标结果使自己的权益受到损害的，可以在知道或者应知其权益受到损害之日起7个工作日内，以书面形式向采购人、采购代理机构提出质疑。</w:t>
      </w:r>
    </w:p>
    <w:p w14:paraId="59B4360A">
      <w:pPr>
        <w:spacing w:line="360" w:lineRule="auto"/>
        <w:ind w:firstLine="480" w:firstLineChars="200"/>
        <w:rPr>
          <w:rFonts w:ascii="宋体" w:hAnsi="宋体" w:cs="宋体"/>
          <w:color w:val="auto"/>
          <w:sz w:val="24"/>
        </w:rPr>
      </w:pPr>
      <w:r>
        <w:rPr>
          <w:rFonts w:hint="eastAsia" w:ascii="宋体" w:hAnsi="宋体" w:cs="宋体"/>
          <w:color w:val="auto"/>
          <w:sz w:val="24"/>
        </w:rPr>
        <w:t>10.4.2 供应商应在法定质疑期内一次性提出针对同一采购程序环节的质疑。</w:t>
      </w:r>
    </w:p>
    <w:p w14:paraId="79BF5F1C">
      <w:pPr>
        <w:spacing w:line="360" w:lineRule="auto"/>
        <w:ind w:firstLine="480" w:firstLineChars="200"/>
        <w:rPr>
          <w:rFonts w:ascii="宋体" w:hAnsi="宋体" w:cs="宋体"/>
          <w:color w:val="auto"/>
          <w:sz w:val="24"/>
        </w:rPr>
      </w:pPr>
      <w:r>
        <w:rPr>
          <w:rFonts w:hint="eastAsia" w:ascii="宋体" w:hAnsi="宋体" w:cs="宋体"/>
          <w:color w:val="auto"/>
          <w:sz w:val="24"/>
        </w:rPr>
        <w:t>10.4.3 提出质疑的供应商应当是参与本项目采购活动的供应商。</w:t>
      </w:r>
    </w:p>
    <w:p w14:paraId="1F4E9CD0">
      <w:pPr>
        <w:spacing w:line="360" w:lineRule="auto"/>
        <w:ind w:firstLine="480" w:firstLineChars="200"/>
        <w:rPr>
          <w:rFonts w:ascii="宋体" w:hAnsi="宋体" w:cs="宋体"/>
          <w:color w:val="auto"/>
          <w:sz w:val="24"/>
        </w:rPr>
      </w:pPr>
      <w:r>
        <w:rPr>
          <w:rFonts w:hint="eastAsia" w:ascii="宋体" w:hAnsi="宋体" w:cs="宋体"/>
          <w:color w:val="auto"/>
          <w:sz w:val="24"/>
        </w:rPr>
        <w:t>10.4.4 潜在供应商已依法获取其可质疑的采购招标文件的，可以对该文件提出质疑。对采购招标文件提出质疑的，应当在获取采购招标文件或者采购招标文件公告期限届满之日起7个工作日内提出。</w:t>
      </w:r>
    </w:p>
    <w:p w14:paraId="2EAB7604">
      <w:pPr>
        <w:spacing w:line="360" w:lineRule="auto"/>
        <w:ind w:firstLine="480" w:firstLineChars="200"/>
        <w:rPr>
          <w:rFonts w:ascii="宋体" w:hAnsi="宋体" w:cs="宋体"/>
          <w:color w:val="auto"/>
          <w:sz w:val="24"/>
        </w:rPr>
      </w:pPr>
      <w:r>
        <w:rPr>
          <w:rFonts w:hint="eastAsia" w:ascii="宋体" w:hAnsi="宋体" w:cs="宋体"/>
          <w:color w:val="auto"/>
          <w:sz w:val="24"/>
        </w:rPr>
        <w:t>10.5 有下列情形之一的，属于无效质疑，采购人和采购代理机构不予受理：</w:t>
      </w:r>
    </w:p>
    <w:p w14:paraId="066B94B4">
      <w:pPr>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10.5.1 质疑人已经参与了公开招标项目的报价或评审活动，又对采购招标文件内容提出质疑的，视为质疑已经超过有效期，属于无效质疑，不予受理。            </w:t>
      </w:r>
    </w:p>
    <w:p w14:paraId="7ED19B46">
      <w:pPr>
        <w:spacing w:line="360" w:lineRule="auto"/>
        <w:ind w:firstLine="480" w:firstLineChars="200"/>
        <w:jc w:val="left"/>
        <w:rPr>
          <w:rFonts w:ascii="宋体" w:hAnsi="宋体" w:cs="宋体"/>
          <w:color w:val="auto"/>
          <w:sz w:val="24"/>
        </w:rPr>
      </w:pPr>
      <w:r>
        <w:rPr>
          <w:rFonts w:hint="eastAsia" w:ascii="宋体" w:hAnsi="宋体" w:cs="宋体"/>
          <w:color w:val="auto"/>
          <w:sz w:val="24"/>
        </w:rPr>
        <w:t>10.5.2 未在有效期限内提出质疑的；</w:t>
      </w:r>
    </w:p>
    <w:p w14:paraId="1448AA6C">
      <w:pPr>
        <w:spacing w:line="360" w:lineRule="auto"/>
        <w:ind w:firstLine="480" w:firstLineChars="200"/>
        <w:rPr>
          <w:rFonts w:ascii="宋体" w:hAnsi="宋体" w:cs="宋体"/>
          <w:color w:val="auto"/>
          <w:sz w:val="24"/>
        </w:rPr>
      </w:pPr>
      <w:r>
        <w:rPr>
          <w:rFonts w:hint="eastAsia" w:ascii="宋体" w:hAnsi="宋体" w:cs="宋体"/>
          <w:color w:val="auto"/>
          <w:sz w:val="24"/>
        </w:rPr>
        <w:t>10.5.3 质疑未以书面形式提出的；</w:t>
      </w:r>
    </w:p>
    <w:p w14:paraId="09D548AD">
      <w:pPr>
        <w:spacing w:line="360" w:lineRule="auto"/>
        <w:ind w:firstLine="480" w:firstLineChars="200"/>
        <w:rPr>
          <w:rFonts w:ascii="宋体" w:hAnsi="宋体" w:cs="宋体"/>
          <w:color w:val="auto"/>
          <w:sz w:val="24"/>
        </w:rPr>
      </w:pPr>
      <w:r>
        <w:rPr>
          <w:rFonts w:hint="eastAsia" w:ascii="宋体" w:hAnsi="宋体" w:cs="宋体"/>
          <w:color w:val="auto"/>
          <w:sz w:val="24"/>
        </w:rPr>
        <w:t>10.5.4 质疑书为传真或复印件的；</w:t>
      </w:r>
    </w:p>
    <w:p w14:paraId="31914D8C">
      <w:pPr>
        <w:spacing w:line="360" w:lineRule="auto"/>
        <w:ind w:firstLine="480" w:firstLineChars="200"/>
        <w:rPr>
          <w:rFonts w:ascii="宋体" w:hAnsi="宋体" w:cs="宋体"/>
          <w:color w:val="auto"/>
          <w:sz w:val="24"/>
        </w:rPr>
      </w:pPr>
      <w:r>
        <w:rPr>
          <w:rFonts w:hint="eastAsia" w:ascii="宋体" w:hAnsi="宋体" w:cs="宋体"/>
          <w:color w:val="auto"/>
          <w:sz w:val="24"/>
        </w:rPr>
        <w:t>10.5.5 所提交材料没有以《质疑函》命名的；</w:t>
      </w:r>
    </w:p>
    <w:p w14:paraId="56D822D6">
      <w:pPr>
        <w:spacing w:line="360" w:lineRule="auto"/>
        <w:ind w:firstLine="480" w:firstLineChars="200"/>
        <w:rPr>
          <w:rFonts w:ascii="宋体" w:hAnsi="宋体" w:cs="宋体"/>
          <w:color w:val="auto"/>
          <w:sz w:val="24"/>
        </w:rPr>
      </w:pPr>
      <w:r>
        <w:rPr>
          <w:rFonts w:hint="eastAsia" w:ascii="宋体" w:hAnsi="宋体" w:cs="宋体"/>
          <w:color w:val="auto"/>
          <w:sz w:val="24"/>
        </w:rPr>
        <w:t>10.5.6 质疑书没有法定代表人签署本人姓名或印盖本人姓名章并加盖单位公章；质疑书由参加采购项目的授权代表签署本人姓名或印盖本人姓名章的，没有法定代表人的特别授权；质疑书加盖合同专用章的；</w:t>
      </w:r>
    </w:p>
    <w:p w14:paraId="43CD6959">
      <w:pPr>
        <w:spacing w:line="360" w:lineRule="auto"/>
        <w:ind w:firstLine="480" w:firstLineChars="200"/>
        <w:rPr>
          <w:rFonts w:ascii="宋体" w:hAnsi="宋体" w:cs="宋体"/>
          <w:color w:val="auto"/>
          <w:sz w:val="24"/>
        </w:rPr>
      </w:pPr>
      <w:r>
        <w:rPr>
          <w:rFonts w:hint="eastAsia" w:ascii="宋体" w:hAnsi="宋体" w:cs="宋体"/>
          <w:color w:val="auto"/>
          <w:sz w:val="24"/>
        </w:rPr>
        <w:t>10.5.7 质疑书未提供有效联系人或联系方式的；</w:t>
      </w:r>
    </w:p>
    <w:p w14:paraId="6C4CDB83">
      <w:pPr>
        <w:spacing w:line="360" w:lineRule="auto"/>
        <w:ind w:firstLine="480" w:firstLineChars="200"/>
        <w:rPr>
          <w:rFonts w:ascii="宋体" w:hAnsi="宋体" w:cs="宋体"/>
          <w:color w:val="auto"/>
          <w:sz w:val="24"/>
        </w:rPr>
      </w:pPr>
      <w:r>
        <w:rPr>
          <w:rFonts w:hint="eastAsia" w:ascii="宋体" w:hAnsi="宋体" w:cs="宋体"/>
          <w:color w:val="auto"/>
          <w:sz w:val="24"/>
        </w:rPr>
        <w:t>10.5.8 质疑事项已经进入投诉或者诉讼程序的；</w:t>
      </w:r>
    </w:p>
    <w:p w14:paraId="252C07FB">
      <w:pPr>
        <w:spacing w:line="360" w:lineRule="auto"/>
        <w:ind w:firstLine="480" w:firstLineChars="200"/>
        <w:rPr>
          <w:rFonts w:ascii="宋体" w:hAnsi="宋体" w:cs="宋体"/>
          <w:color w:val="auto"/>
          <w:sz w:val="24"/>
        </w:rPr>
      </w:pPr>
      <w:r>
        <w:rPr>
          <w:rFonts w:hint="eastAsia" w:ascii="宋体" w:hAnsi="宋体" w:cs="宋体"/>
          <w:color w:val="auto"/>
          <w:sz w:val="24"/>
        </w:rPr>
        <w:t>10.5.9 其它不符合受理条件的情形。</w:t>
      </w:r>
    </w:p>
    <w:p w14:paraId="096A98D9">
      <w:pPr>
        <w:spacing w:line="360" w:lineRule="auto"/>
        <w:ind w:firstLine="480" w:firstLineChars="200"/>
        <w:rPr>
          <w:rFonts w:ascii="宋体" w:hAnsi="宋体" w:cs="宋体"/>
          <w:color w:val="auto"/>
          <w:sz w:val="24"/>
        </w:rPr>
      </w:pPr>
      <w:r>
        <w:rPr>
          <w:rFonts w:hint="eastAsia" w:ascii="宋体" w:hAnsi="宋体" w:cs="宋体"/>
          <w:color w:val="auto"/>
          <w:sz w:val="24"/>
        </w:rPr>
        <w:t>10.6 质疑人有下列情形之一的，采购人、采购代理机构将驳回质疑：</w:t>
      </w:r>
    </w:p>
    <w:p w14:paraId="27A67630">
      <w:pPr>
        <w:spacing w:line="360" w:lineRule="auto"/>
        <w:ind w:firstLine="480" w:firstLineChars="200"/>
        <w:rPr>
          <w:rFonts w:ascii="宋体" w:hAnsi="宋体" w:cs="宋体"/>
          <w:color w:val="auto"/>
          <w:sz w:val="24"/>
        </w:rPr>
      </w:pPr>
      <w:r>
        <w:rPr>
          <w:rFonts w:hint="eastAsia" w:ascii="宋体" w:hAnsi="宋体" w:cs="宋体"/>
          <w:color w:val="auto"/>
          <w:sz w:val="24"/>
        </w:rPr>
        <w:t>10.6.1 质疑缺乏事实和法律依据的；</w:t>
      </w:r>
    </w:p>
    <w:p w14:paraId="40E415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10.6.2 质疑人捏造事实、提供虚假材料，或在一定期限内多次质疑而无实据的；</w:t>
      </w:r>
    </w:p>
    <w:p w14:paraId="3FDB80A9">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 xml:space="preserve">10.6.3质疑已经处理并答复后，质疑人就同一事项又提起质疑且未提供新的有效证据的； </w:t>
      </w:r>
    </w:p>
    <w:p w14:paraId="36719C34">
      <w:pPr>
        <w:pageBreakBefore w:val="0"/>
        <w:widowControl w:val="0"/>
        <w:kinsoku/>
        <w:wordWrap/>
        <w:overflowPunct/>
        <w:topLinePunct w:val="0"/>
        <w:autoSpaceDE/>
        <w:autoSpaceDN/>
        <w:bidi w:val="0"/>
        <w:adjustRightInd/>
        <w:snapToGrid/>
        <w:spacing w:line="440" w:lineRule="exact"/>
        <w:ind w:left="479" w:leftChars="228"/>
        <w:textAlignment w:val="auto"/>
        <w:rPr>
          <w:rFonts w:ascii="宋体" w:hAnsi="宋体" w:cs="宋体"/>
          <w:color w:val="auto"/>
          <w:sz w:val="24"/>
        </w:rPr>
      </w:pPr>
      <w:r>
        <w:rPr>
          <w:rFonts w:hint="eastAsia" w:ascii="宋体" w:hAnsi="宋体" w:cs="宋体"/>
          <w:color w:val="auto"/>
          <w:sz w:val="24"/>
        </w:rPr>
        <w:t>10.6.4 其他根据相关法律、法规应当予以驳回的情形。</w:t>
      </w:r>
    </w:p>
    <w:p w14:paraId="1B170266">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10.7 提供的质疑书应符合中华人民共和国财政部94号令《政府采购质疑和投诉办法》的规定。供应商提供的质疑书（如材料中有外文资料应同时附上中文译本）应当包括以下主要内容：</w:t>
      </w:r>
    </w:p>
    <w:p w14:paraId="77F6856A">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(1)供应商的姓名或者名称、地址、邮编、联系人及联系电话；</w:t>
      </w:r>
    </w:p>
    <w:p w14:paraId="1C65F722">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(2)质疑项目的名称、编号；</w:t>
      </w:r>
    </w:p>
    <w:p w14:paraId="5A805C50">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(3)具体、明确的质疑事项和与质疑事项相关的请求；</w:t>
      </w:r>
    </w:p>
    <w:p w14:paraId="1F0753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(4)事实依据；</w:t>
      </w:r>
    </w:p>
    <w:p w14:paraId="5D9A59DA">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(5)必要的法律依据；</w:t>
      </w:r>
    </w:p>
    <w:p w14:paraId="41F5EBBE">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(6)提出质疑的日期。</w:t>
      </w:r>
    </w:p>
    <w:p w14:paraId="1607CE3D">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供应商为自然人的，应当由本人签字；供应商为法人或者其他组织的，应当由法定代表人、主要负责人，或者其授权代表签字或者盖章，并加盖公章。</w:t>
      </w:r>
    </w:p>
    <w:p w14:paraId="3C5E3E71">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10.8 采购人、采购代理机构将在收到供应商的书面质疑后七个工作日内作出答复，并以书面形式通知质疑供应商，但答复的内容不涉及商业秘密。</w:t>
      </w:r>
    </w:p>
    <w:p w14:paraId="517930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10.9 参与政府采购活动的供应商对评审过程或者结果提出质疑的，采购人或采购代理机构可以组织原评审委员会协助处理质疑事项，并依据评审委员会出具的意见进行答复。质疑答复导致中标或中标结果改变的，采购人或采购代理机构应当将相关情况报财政部门备案。</w:t>
      </w:r>
    </w:p>
    <w:p w14:paraId="4B11A0EB">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10.10 质疑供应商对采购人、采购代理机构的答复不满意或者采购人、采购代理机构未在规定的时间内作出答复的，可以在答复期满后十五个工作日内向同级政府采购监督管理部门投诉。投诉人的投诉将按照《政府采购质疑和投诉办法》《财政部关于加强政府采购供应商投诉受理审查工作的通知》的规定办理。</w:t>
      </w:r>
    </w:p>
    <w:p w14:paraId="0E8D857B">
      <w:pPr>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color w:val="auto"/>
          <w:sz w:val="24"/>
        </w:rPr>
      </w:pPr>
      <w:r>
        <w:rPr>
          <w:rFonts w:hint="eastAsia" w:ascii="宋体" w:hAnsi="宋体" w:cs="宋体"/>
          <w:color w:val="auto"/>
          <w:sz w:val="24"/>
        </w:rPr>
        <w:t>10.11 政府采购监督管理部门将在收到投诉后三十个工作日内，对投诉事项作出处理决定，并以书面形式通知投诉人和与投诉事项有关的当事人。</w:t>
      </w:r>
    </w:p>
    <w:p w14:paraId="32AF279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rPr>
      </w:pPr>
      <w:r>
        <w:rPr>
          <w:rFonts w:hint="eastAsia" w:ascii="宋体" w:hAnsi="宋体" w:cs="宋体"/>
          <w:color w:val="auto"/>
          <w:sz w:val="24"/>
        </w:rPr>
        <w:t>10.12 政府采购监督管理部门在处理投诉事项期间，可以视具体情况书面通知采购人暂停采购活动，但暂停时间最长不超过三十日。</w:t>
      </w:r>
    </w:p>
    <w:p w14:paraId="0061A179">
      <w:pPr>
        <w:pStyle w:val="10"/>
        <w:tabs>
          <w:tab w:val="left" w:pos="1275"/>
          <w:tab w:val="left" w:pos="1440"/>
          <w:tab w:val="left" w:pos="1620"/>
        </w:tabs>
        <w:spacing w:line="360" w:lineRule="auto"/>
        <w:ind w:firstLine="480"/>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质疑函范本</w:t>
      </w:r>
    </w:p>
    <w:p w14:paraId="23E6CBFD">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一、质疑投标人基本信息</w:t>
      </w:r>
    </w:p>
    <w:p w14:paraId="510E70FD">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质疑投标人：_______________________________________________________</w:t>
      </w:r>
    </w:p>
    <w:p w14:paraId="7147B363">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地  址：________________________邮 编：____________________________</w:t>
      </w:r>
    </w:p>
    <w:p w14:paraId="22F9BDE9">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联系人：                          联系电话：_______________________</w:t>
      </w:r>
    </w:p>
    <w:p w14:paraId="63222015">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授权代表：_________________________________________________________</w:t>
      </w:r>
    </w:p>
    <w:p w14:paraId="1A452BA6">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联系电话：_________________________________________________________</w:t>
      </w:r>
    </w:p>
    <w:p w14:paraId="2ADCB862">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地  址：___________________________邮 编：_________________________</w:t>
      </w:r>
    </w:p>
    <w:p w14:paraId="0636BFF1">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二、质疑项目基本情况</w:t>
      </w:r>
    </w:p>
    <w:p w14:paraId="5062DC2A">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质疑项目的名称：__________________________________________________</w:t>
      </w:r>
    </w:p>
    <w:p w14:paraId="2D718B15">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质疑项目的编号：__________________包 号：_________________________</w:t>
      </w:r>
    </w:p>
    <w:p w14:paraId="59690C0D">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采购人名称：______________________________________________________</w:t>
      </w:r>
    </w:p>
    <w:p w14:paraId="2797A283">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 xml:space="preserve">采购文件获取日期：________________________________________________ </w:t>
      </w:r>
    </w:p>
    <w:p w14:paraId="44CFDA19">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三、质疑事项具体内容</w:t>
      </w:r>
    </w:p>
    <w:p w14:paraId="4B3B9BEB">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质疑事项1：______________________________________________________</w:t>
      </w:r>
    </w:p>
    <w:p w14:paraId="05D469AA">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事实依据：________________________________________________________</w:t>
      </w:r>
    </w:p>
    <w:p w14:paraId="72046FF8">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法律依据：________________________________________________________</w:t>
      </w:r>
    </w:p>
    <w:p w14:paraId="3548DCEE">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质疑事项2</w:t>
      </w:r>
    </w:p>
    <w:p w14:paraId="2FC52BEF">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w:t>
      </w:r>
    </w:p>
    <w:p w14:paraId="727E9C69">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四、与质疑事项相关的质疑请求</w:t>
      </w:r>
    </w:p>
    <w:p w14:paraId="50D036D0">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请求：____________________________________________________________</w:t>
      </w:r>
    </w:p>
    <w:p w14:paraId="158D6ABF">
      <w:pPr>
        <w:adjustRightInd/>
        <w:snapToGrid/>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 xml:space="preserve">签字(签章)：                   公章：                      </w:t>
      </w:r>
    </w:p>
    <w:p w14:paraId="56DF3017">
      <w:pPr>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 xml:space="preserve">日期：    </w:t>
      </w:r>
    </w:p>
    <w:p w14:paraId="3770B72D">
      <w:pPr>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质疑函制作说明：</w:t>
      </w:r>
    </w:p>
    <w:p w14:paraId="1E812EAC">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1.投标人提出质疑时，应提交质疑函和必要的证明材料。</w:t>
      </w:r>
    </w:p>
    <w:p w14:paraId="40664374">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04C4DCC1">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3.质疑投标人若对项目的某一分包进行质疑，质疑函中应列明具体分包号。</w:t>
      </w:r>
    </w:p>
    <w:p w14:paraId="6C59641A">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4.质疑函的质疑事项应具体、明确，并有必要的事实依据和法律依据。</w:t>
      </w:r>
    </w:p>
    <w:p w14:paraId="7BF765A0">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5.质疑函的质疑请求应与质疑事项相关。</w:t>
      </w:r>
    </w:p>
    <w:p w14:paraId="5A544679">
      <w:pPr>
        <w:pStyle w:val="10"/>
        <w:tabs>
          <w:tab w:val="left" w:pos="1275"/>
          <w:tab w:val="left" w:pos="1440"/>
          <w:tab w:val="left" w:pos="1620"/>
        </w:tabs>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6.质疑投标人为自然人的，质疑函应由本人签字；质疑投标人为法人或者其他组织的，质疑函应由法定代表人、主要负责人，或者其授权代表签字或者盖章，并加盖公章。</w:t>
      </w:r>
    </w:p>
    <w:p w14:paraId="2DC19FB6">
      <w:pPr>
        <w:pStyle w:val="10"/>
        <w:tabs>
          <w:tab w:val="left" w:pos="1275"/>
          <w:tab w:val="left" w:pos="1440"/>
          <w:tab w:val="left" w:pos="1620"/>
        </w:tabs>
        <w:spacing w:line="360" w:lineRule="auto"/>
        <w:ind w:firstLine="480"/>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.7投诉书范本</w:t>
      </w:r>
    </w:p>
    <w:p w14:paraId="704F45F1">
      <w:pPr>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一、投诉相关主体基本情况</w:t>
      </w:r>
    </w:p>
    <w:p w14:paraId="1BBE1D44">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 xml:space="preserve">投诉人：___________________________________________________________ </w:t>
      </w:r>
    </w:p>
    <w:p w14:paraId="49E5B5F6">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地  址：________________________邮 编：____________________________</w:t>
      </w:r>
    </w:p>
    <w:p w14:paraId="11B0F51A">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 xml:space="preserve">法定代表人/主要负责人：____________________________________________ </w:t>
      </w:r>
    </w:p>
    <w:p w14:paraId="25A99D1A">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联系电话：_________________________________________________________</w:t>
      </w:r>
    </w:p>
    <w:p w14:paraId="63B76F7B">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授权代表：_______________________联系电话：_________________________</w:t>
      </w:r>
    </w:p>
    <w:p w14:paraId="0EBBA239">
      <w:pPr>
        <w:spacing w:line="360" w:lineRule="auto"/>
        <w:ind w:left="0" w:leftChars="0"/>
        <w:jc w:val="left"/>
        <w:rPr>
          <w:rFonts w:hint="eastAsia" w:ascii="宋体" w:hAnsi="宋体" w:eastAsia="宋体" w:cs="宋体"/>
          <w:color w:val="auto"/>
          <w:sz w:val="24"/>
        </w:rPr>
      </w:pPr>
      <w:r>
        <w:rPr>
          <w:rFonts w:hint="eastAsia" w:ascii="宋体" w:hAnsi="宋体" w:eastAsia="宋体" w:cs="宋体"/>
          <w:color w:val="auto"/>
          <w:sz w:val="24"/>
        </w:rPr>
        <w:t>地   址：________________________邮 编：___________________________被投诉人1：________________________________________________________</w:t>
      </w:r>
    </w:p>
    <w:p w14:paraId="2E0A1097">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地   址：______________________邮 编：____________________________</w:t>
      </w:r>
    </w:p>
    <w:p w14:paraId="31F625D7">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 xml:space="preserve">联系人：________________________联系电话：__________________________ </w:t>
      </w:r>
    </w:p>
    <w:p w14:paraId="57496C6A">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被投诉人2</w:t>
      </w:r>
    </w:p>
    <w:p w14:paraId="6262077F">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w:t>
      </w:r>
    </w:p>
    <w:p w14:paraId="62A1B91B">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相关投标人：_______________________________________________________</w:t>
      </w:r>
    </w:p>
    <w:p w14:paraId="4DB8665C">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地   址：________________________邮 编：___________________________</w:t>
      </w:r>
    </w:p>
    <w:p w14:paraId="1D0D6625">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联系人：_________________________联系电话：________________________</w:t>
      </w:r>
    </w:p>
    <w:p w14:paraId="57D0588C">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二、投诉项目基本情况</w:t>
      </w:r>
    </w:p>
    <w:p w14:paraId="24C67DE7">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采购项目名称：_____________________________________________________</w:t>
      </w:r>
    </w:p>
    <w:p w14:paraId="695DE86C">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采购项目编号：______________________包 号：________________________</w:t>
      </w:r>
    </w:p>
    <w:p w14:paraId="64B8C00B">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采购人名称：_______________________________________________________</w:t>
      </w:r>
    </w:p>
    <w:p w14:paraId="200EC667">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代理机构名称：_____________________________________________________</w:t>
      </w:r>
    </w:p>
    <w:p w14:paraId="70912CB2">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采购文件公告:是/否公告期限：_______________________________________</w:t>
      </w:r>
    </w:p>
    <w:p w14:paraId="0C3446B5">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采购结果公告:是/否公告期限：_______________________________________</w:t>
      </w:r>
    </w:p>
    <w:p w14:paraId="32BA1431">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三、质疑基本情况</w:t>
      </w:r>
    </w:p>
    <w:p w14:paraId="1A7EFF55">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投诉人于   年   月  日</w:t>
      </w:r>
      <w:r>
        <w:rPr>
          <w:rFonts w:hint="eastAsia" w:ascii="宋体" w:hAnsi="宋体" w:eastAsia="宋体" w:cs="宋体"/>
          <w:color w:val="auto"/>
          <w:sz w:val="24"/>
          <w:lang w:eastAsia="zh-CN"/>
        </w:rPr>
        <w:t>，</w:t>
      </w:r>
      <w:r>
        <w:rPr>
          <w:rFonts w:hint="eastAsia" w:ascii="宋体" w:hAnsi="宋体" w:eastAsia="宋体" w:cs="宋体"/>
          <w:color w:val="auto"/>
          <w:sz w:val="24"/>
        </w:rPr>
        <w:t>向                   提出质疑，质疑事项为：_____________________________________________________________________</w:t>
      </w:r>
    </w:p>
    <w:p w14:paraId="7CB41B61">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采购人/代理机构于  年   月   日</w:t>
      </w:r>
      <w:r>
        <w:rPr>
          <w:rFonts w:hint="eastAsia" w:ascii="宋体" w:hAnsi="宋体" w:eastAsia="宋体" w:cs="宋体"/>
          <w:color w:val="auto"/>
          <w:sz w:val="24"/>
          <w:lang w:eastAsia="zh-CN"/>
        </w:rPr>
        <w:t>，</w:t>
      </w:r>
      <w:r>
        <w:rPr>
          <w:rFonts w:hint="eastAsia" w:ascii="宋体" w:hAnsi="宋体" w:eastAsia="宋体" w:cs="宋体"/>
          <w:color w:val="auto"/>
          <w:sz w:val="24"/>
        </w:rPr>
        <w:t>就质疑事项作出了答复/没有在法定期限内作出答复。</w:t>
      </w:r>
    </w:p>
    <w:p w14:paraId="111CAF7F">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四、投诉事项具体内容</w:t>
      </w:r>
    </w:p>
    <w:p w14:paraId="31910556">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投诉事项 1：_______________________________________________________</w:t>
      </w:r>
    </w:p>
    <w:p w14:paraId="17D2C9DA">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事实依据：_________________________________________________________</w:t>
      </w:r>
    </w:p>
    <w:p w14:paraId="060C91A4">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法律依据：_________________________________________________________</w:t>
      </w:r>
    </w:p>
    <w:p w14:paraId="301CB9C9">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投诉事项2</w:t>
      </w:r>
    </w:p>
    <w:p w14:paraId="0B9589B5">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w:t>
      </w:r>
    </w:p>
    <w:p w14:paraId="39A46805">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五、与投诉事项相关的投诉请求</w:t>
      </w:r>
    </w:p>
    <w:p w14:paraId="27D9BCDE">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请求：____________________________________________________________</w:t>
      </w:r>
    </w:p>
    <w:p w14:paraId="033B20ED">
      <w:pPr>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 xml:space="preserve">签字(签章)：                   公章：                      </w:t>
      </w:r>
    </w:p>
    <w:p w14:paraId="41AB3966">
      <w:pPr>
        <w:spacing w:line="360" w:lineRule="auto"/>
        <w:ind w:firstLine="0" w:firstLineChars="0"/>
        <w:rPr>
          <w:rFonts w:hint="eastAsia" w:ascii="宋体" w:hAnsi="宋体" w:eastAsia="宋体" w:cs="宋体"/>
          <w:color w:val="auto"/>
          <w:sz w:val="24"/>
        </w:rPr>
      </w:pPr>
      <w:r>
        <w:rPr>
          <w:rFonts w:hint="eastAsia" w:ascii="宋体" w:hAnsi="宋体" w:eastAsia="宋体" w:cs="宋体"/>
          <w:color w:val="auto"/>
          <w:sz w:val="24"/>
        </w:rPr>
        <w:t xml:space="preserve">日期：    </w:t>
      </w:r>
    </w:p>
    <w:p w14:paraId="34020810">
      <w:pPr>
        <w:pStyle w:val="3"/>
        <w:pageBreakBefore w:val="0"/>
        <w:widowControl w:val="0"/>
        <w:kinsoku/>
        <w:wordWrap/>
        <w:overflowPunct/>
        <w:topLinePunct w:val="0"/>
        <w:autoSpaceDE/>
        <w:autoSpaceDN/>
        <w:bidi w:val="0"/>
        <w:adjustRightInd/>
        <w:snapToGrid/>
        <w:spacing w:before="0" w:after="0" w:line="440" w:lineRule="exact"/>
        <w:ind w:firstLine="482" w:firstLineChars="200"/>
        <w:textAlignment w:val="auto"/>
        <w:rPr>
          <w:rFonts w:ascii="宋体" w:hAnsi="宋体" w:cs="宋体"/>
          <w:color w:val="auto"/>
          <w:sz w:val="24"/>
          <w:szCs w:val="24"/>
        </w:rPr>
      </w:pPr>
      <w:bookmarkStart w:id="48" w:name="_Toc187226626"/>
      <w:bookmarkStart w:id="49" w:name="_Toc26692"/>
      <w:bookmarkStart w:id="50" w:name="_Toc14896"/>
      <w:bookmarkStart w:id="51" w:name="_Toc17492"/>
      <w:r>
        <w:rPr>
          <w:rFonts w:hint="eastAsia" w:ascii="宋体" w:hAnsi="宋体" w:cs="宋体"/>
          <w:color w:val="auto"/>
          <w:sz w:val="24"/>
          <w:szCs w:val="24"/>
        </w:rPr>
        <w:t>11. 需要补充的其他内容</w:t>
      </w:r>
      <w:bookmarkEnd w:id="48"/>
      <w:bookmarkEnd w:id="49"/>
      <w:bookmarkEnd w:id="50"/>
      <w:bookmarkEnd w:id="51"/>
    </w:p>
    <w:p w14:paraId="55B3C5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rPr>
      </w:pPr>
      <w:r>
        <w:rPr>
          <w:rFonts w:hint="eastAsia" w:ascii="宋体" w:hAnsi="宋体" w:cs="宋体"/>
          <w:color w:val="auto"/>
          <w:sz w:val="24"/>
        </w:rPr>
        <w:t>需要补充的其他内容：见供应商须知前附表。</w:t>
      </w:r>
      <w:bookmarkStart w:id="52" w:name="_Toc31668"/>
    </w:p>
    <w:p w14:paraId="09BD155E">
      <w:pPr>
        <w:pStyle w:val="3"/>
        <w:pageBreakBefore w:val="0"/>
        <w:widowControl w:val="0"/>
        <w:kinsoku/>
        <w:wordWrap/>
        <w:overflowPunct/>
        <w:topLinePunct w:val="0"/>
        <w:autoSpaceDE/>
        <w:autoSpaceDN/>
        <w:bidi w:val="0"/>
        <w:adjustRightInd/>
        <w:snapToGrid/>
        <w:spacing w:before="0" w:after="0" w:line="440" w:lineRule="exact"/>
        <w:ind w:firstLine="482" w:firstLineChars="20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12.</w:t>
      </w:r>
      <w:bookmarkStart w:id="53" w:name="_Toc70253041"/>
      <w:bookmarkStart w:id="54" w:name="_Toc67040112"/>
      <w:bookmarkStart w:id="55" w:name="_Toc70252925"/>
      <w:bookmarkStart w:id="56" w:name="_Toc85096130"/>
      <w:bookmarkStart w:id="57" w:name="_Toc68082674"/>
      <w:bookmarkStart w:id="58" w:name="_Toc66692264"/>
      <w:bookmarkStart w:id="59" w:name="_Toc66969997"/>
      <w:r>
        <w:rPr>
          <w:rFonts w:hint="eastAsia" w:ascii="宋体" w:hAnsi="宋体" w:cs="宋体"/>
          <w:color w:val="auto"/>
          <w:sz w:val="24"/>
          <w:szCs w:val="24"/>
        </w:rPr>
        <w:t>解释权</w:t>
      </w:r>
      <w:bookmarkEnd w:id="53"/>
      <w:bookmarkEnd w:id="54"/>
      <w:bookmarkEnd w:id="55"/>
      <w:bookmarkEnd w:id="56"/>
      <w:bookmarkEnd w:id="57"/>
      <w:bookmarkEnd w:id="58"/>
      <w:bookmarkEnd w:id="59"/>
    </w:p>
    <w:p w14:paraId="2422D25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本采购文件是根据《中华人民共和国政府采购法》及相关法律法规编制，解释权属采购代理机构。</w:t>
      </w:r>
    </w:p>
    <w:p w14:paraId="3CEB5C7C">
      <w:pPr>
        <w:pStyle w:val="3"/>
        <w:pageBreakBefore w:val="0"/>
        <w:widowControl w:val="0"/>
        <w:kinsoku/>
        <w:wordWrap/>
        <w:overflowPunct/>
        <w:topLinePunct w:val="0"/>
        <w:autoSpaceDE/>
        <w:autoSpaceDN/>
        <w:bidi w:val="0"/>
        <w:adjustRightInd/>
        <w:snapToGrid/>
        <w:spacing w:before="0" w:after="0" w:line="440" w:lineRule="exact"/>
        <w:ind w:firstLine="482" w:firstLineChars="20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13.</w:t>
      </w:r>
      <w:r>
        <w:rPr>
          <w:rFonts w:hint="eastAsia" w:ascii="宋体" w:hAnsi="宋体" w:cs="宋体"/>
          <w:color w:val="auto"/>
          <w:sz w:val="24"/>
          <w:szCs w:val="24"/>
        </w:rPr>
        <w:t>采购项目需要落实的政府采购政策</w:t>
      </w:r>
    </w:p>
    <w:p w14:paraId="75827CC5">
      <w:pPr>
        <w:pStyle w:val="10"/>
        <w:keepNext w:val="0"/>
        <w:keepLines w:val="0"/>
        <w:pageBreakBefore w:val="0"/>
        <w:tabs>
          <w:tab w:val="left" w:pos="1275"/>
          <w:tab w:val="left" w:pos="1440"/>
          <w:tab w:val="left" w:pos="1620"/>
        </w:tabs>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13.1.</w:t>
      </w:r>
      <w:r>
        <w:rPr>
          <w:rFonts w:hint="eastAsia" w:ascii="宋体" w:hAnsi="宋体" w:eastAsia="宋体" w:cs="宋体"/>
          <w:color w:val="auto"/>
          <w:sz w:val="24"/>
          <w:szCs w:val="24"/>
        </w:rPr>
        <w:t>小型微型企业评标价</w:t>
      </w:r>
    </w:p>
    <w:p w14:paraId="27A645D0">
      <w:pPr>
        <w:pStyle w:val="10"/>
        <w:keepNext w:val="0"/>
        <w:keepLines w:val="0"/>
        <w:pageBreakBefore w:val="0"/>
        <w:kinsoku/>
        <w:wordWrap/>
        <w:overflowPunct/>
        <w:topLinePunct w:val="0"/>
        <w:autoSpaceDE/>
        <w:autoSpaceDN/>
        <w:bidi w:val="0"/>
        <w:adjustRightInd/>
        <w:snapToGrid/>
        <w:spacing w:line="480" w:lineRule="exact"/>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根据《政府采购促进中小企业发展管理办法》（财库﹝2020﹞46 号）、《关于进一步加大政府采购支持中小企业力度的通知》（财库〔2022〕19号）的规定，对符合条件企业提供的货物、工程或服务的投标报价给予10%的扣除作为评审价。</w:t>
      </w:r>
    </w:p>
    <w:p w14:paraId="6CA43259">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13.1.1在政府采购活动中，供应商提供的货物、工程或者服务符合下列情形的，享受中小企业扶持政策：</w:t>
      </w:r>
    </w:p>
    <w:p w14:paraId="0F2C9ABF">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（1）在货物采购项目中，货物由中小企业制造，即货物由中小企业生产且使用该中小企业商号或者注册商标；</w:t>
      </w:r>
    </w:p>
    <w:p w14:paraId="499D05C4">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（2）在工程采购项目中，工程由中小企业承建，即工程施工单位为中小企业；</w:t>
      </w:r>
    </w:p>
    <w:p w14:paraId="2CFF627B">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（3）在服务采购项目中，服务由中小企业承接，即提供服务的人员为中小企业依照《中华人民共和国民法典》订立劳动合同的从业人员。</w:t>
      </w:r>
    </w:p>
    <w:p w14:paraId="20681ED8">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在货物采购项目中，供应商提供的货物既有中小企业制造货物，也有大型企业制造货物的，不享受中小企业扶持政策。</w:t>
      </w:r>
    </w:p>
    <w:p w14:paraId="7F904535">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以联合体形式参加政府采购活动，联合体各方均为中小企业的，联合体视同中小企业。其中，联合体各方均为小微企业的，联合体视同小微企业。</w:t>
      </w:r>
    </w:p>
    <w:p w14:paraId="12605906">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组成联合体或者接受分包合同的中小企业与联合体内其他企业、分包企业之间不得存在直接控股、管理关系。</w:t>
      </w:r>
    </w:p>
    <w:p w14:paraId="73232421">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13.1.2参加政府采购活动，应当出具文件中规定的《中小企业声明函》，否则不得享受相关中小企业扶持政策。</w:t>
      </w:r>
    </w:p>
    <w:p w14:paraId="4A9D51CD">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13.1.3依据规定享受扶持政策获得政府采购合同的，小微企业不得将合同分包给大中型企业，中型企业不得将合同分包给大型企业。</w:t>
      </w:r>
    </w:p>
    <w:p w14:paraId="010F2E74">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13.1.4对符合《政府采购促进中小企业发展管理办法》规定的小微企业报价给予10%扣除，用扣除后的价格参加评审；适用招标投标法的政府采购工程建设项目，采用综合评估法但未采用低价优先法计算价格分的，评标时应当在采用原报价进行评分的基础上增加其价格得分的5%作为其价格分。</w:t>
      </w:r>
    </w:p>
    <w:p w14:paraId="2A09B402">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13.1.5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工程项目为5%）的扣除，用扣除后的价格参加评审。适用招标投标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价格扣除比例或者价格分加分比例对小型企业和微型企业同等对待，不作区分。</w:t>
      </w:r>
    </w:p>
    <w:p w14:paraId="6219470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br w:type="page"/>
      </w:r>
      <w:r>
        <w:rPr>
          <w:rFonts w:hint="eastAsia" w:ascii="宋体" w:hAnsi="宋体" w:eastAsia="宋体" w:cs="宋体"/>
          <w:color w:val="auto"/>
          <w:kern w:val="2"/>
          <w:sz w:val="24"/>
          <w:szCs w:val="24"/>
          <w:lang w:val="en-US" w:eastAsia="zh-CN" w:bidi="ar-SA"/>
        </w:rPr>
        <w:t>13.1.6大中小企业划分标准</w:t>
      </w:r>
    </w:p>
    <w:p w14:paraId="59C52C54">
      <w:pPr>
        <w:keepNext w:val="0"/>
        <w:keepLines w:val="0"/>
        <w:pageBreakBefore w:val="0"/>
        <w:widowControl/>
        <w:kinsoku/>
        <w:wordWrap/>
        <w:overflowPunct/>
        <w:topLinePunct w:val="0"/>
        <w:autoSpaceDE/>
        <w:autoSpaceDN/>
        <w:bidi w:val="0"/>
        <w:adjustRightInd/>
        <w:snapToGrid/>
        <w:spacing w:line="480" w:lineRule="exact"/>
        <w:ind w:firstLine="482"/>
        <w:jc w:val="center"/>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统计上大中小微型企业划分标准</w:t>
      </w:r>
    </w:p>
    <w:tbl>
      <w:tblPr>
        <w:tblStyle w:val="22"/>
        <w:tblW w:w="106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2"/>
        <w:gridCol w:w="1506"/>
        <w:gridCol w:w="752"/>
        <w:gridCol w:w="1379"/>
        <w:gridCol w:w="2172"/>
        <w:gridCol w:w="2016"/>
        <w:gridCol w:w="1283"/>
      </w:tblGrid>
      <w:tr w14:paraId="27803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noWrap w:val="0"/>
            <w:vAlign w:val="center"/>
          </w:tcPr>
          <w:p w14:paraId="41C7563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行业名称</w:t>
            </w:r>
          </w:p>
        </w:tc>
        <w:tc>
          <w:tcPr>
            <w:tcW w:w="1506" w:type="dxa"/>
            <w:noWrap w:val="0"/>
            <w:vAlign w:val="center"/>
          </w:tcPr>
          <w:p w14:paraId="51BB03A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指标名称</w:t>
            </w:r>
          </w:p>
        </w:tc>
        <w:tc>
          <w:tcPr>
            <w:tcW w:w="752" w:type="dxa"/>
            <w:noWrap w:val="0"/>
            <w:vAlign w:val="center"/>
          </w:tcPr>
          <w:p w14:paraId="7D95B2F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计量单位</w:t>
            </w:r>
          </w:p>
        </w:tc>
        <w:tc>
          <w:tcPr>
            <w:tcW w:w="1379" w:type="dxa"/>
            <w:noWrap w:val="0"/>
            <w:vAlign w:val="center"/>
          </w:tcPr>
          <w:p w14:paraId="242C809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大型</w:t>
            </w:r>
          </w:p>
        </w:tc>
        <w:tc>
          <w:tcPr>
            <w:tcW w:w="2172" w:type="dxa"/>
            <w:noWrap w:val="0"/>
            <w:vAlign w:val="center"/>
          </w:tcPr>
          <w:p w14:paraId="7EFEC9B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中型</w:t>
            </w:r>
          </w:p>
        </w:tc>
        <w:tc>
          <w:tcPr>
            <w:tcW w:w="2016" w:type="dxa"/>
            <w:noWrap w:val="0"/>
            <w:vAlign w:val="center"/>
          </w:tcPr>
          <w:p w14:paraId="492C237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小型</w:t>
            </w:r>
          </w:p>
        </w:tc>
        <w:tc>
          <w:tcPr>
            <w:tcW w:w="1283" w:type="dxa"/>
            <w:noWrap w:val="0"/>
            <w:vAlign w:val="center"/>
          </w:tcPr>
          <w:p w14:paraId="2E90BD4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微型</w:t>
            </w:r>
          </w:p>
        </w:tc>
      </w:tr>
      <w:tr w14:paraId="228D1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exact"/>
          <w:jc w:val="center"/>
        </w:trPr>
        <w:tc>
          <w:tcPr>
            <w:tcW w:w="1532" w:type="dxa"/>
            <w:noWrap w:val="0"/>
            <w:vAlign w:val="center"/>
          </w:tcPr>
          <w:p w14:paraId="1D1535AF">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农、林、牧、渔业</w:t>
            </w:r>
          </w:p>
        </w:tc>
        <w:tc>
          <w:tcPr>
            <w:tcW w:w="1506" w:type="dxa"/>
            <w:noWrap w:val="0"/>
            <w:vAlign w:val="center"/>
          </w:tcPr>
          <w:p w14:paraId="3024CC8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13D658E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35DC76A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Y≥20000</w:t>
            </w:r>
          </w:p>
        </w:tc>
        <w:tc>
          <w:tcPr>
            <w:tcW w:w="2172" w:type="dxa"/>
            <w:noWrap w:val="0"/>
            <w:vAlign w:val="center"/>
          </w:tcPr>
          <w:p w14:paraId="549AFA2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500≤Y＜20000</w:t>
            </w:r>
          </w:p>
        </w:tc>
        <w:tc>
          <w:tcPr>
            <w:tcW w:w="2016" w:type="dxa"/>
            <w:noWrap w:val="0"/>
            <w:vAlign w:val="center"/>
          </w:tcPr>
          <w:p w14:paraId="22D2AF7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50≤Y＜500</w:t>
            </w:r>
          </w:p>
        </w:tc>
        <w:tc>
          <w:tcPr>
            <w:tcW w:w="1283" w:type="dxa"/>
            <w:noWrap w:val="0"/>
            <w:vAlign w:val="center"/>
          </w:tcPr>
          <w:p w14:paraId="667A7C4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Y＜50</w:t>
            </w:r>
          </w:p>
        </w:tc>
      </w:tr>
      <w:tr w14:paraId="74CCE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687E2A6A">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工业 *</w:t>
            </w:r>
          </w:p>
        </w:tc>
        <w:tc>
          <w:tcPr>
            <w:tcW w:w="1506" w:type="dxa"/>
            <w:noWrap w:val="0"/>
            <w:vAlign w:val="center"/>
          </w:tcPr>
          <w:p w14:paraId="4D87F10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4C95768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5211FC2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X≥1000</w:t>
            </w:r>
          </w:p>
        </w:tc>
        <w:tc>
          <w:tcPr>
            <w:tcW w:w="2172" w:type="dxa"/>
            <w:noWrap w:val="0"/>
            <w:vAlign w:val="center"/>
          </w:tcPr>
          <w:p w14:paraId="4F4C389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300≤X＜1000</w:t>
            </w:r>
          </w:p>
        </w:tc>
        <w:tc>
          <w:tcPr>
            <w:tcW w:w="2016" w:type="dxa"/>
            <w:noWrap w:val="0"/>
            <w:vAlign w:val="center"/>
          </w:tcPr>
          <w:p w14:paraId="6C21E1F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20≤X＜300</w:t>
            </w:r>
          </w:p>
        </w:tc>
        <w:tc>
          <w:tcPr>
            <w:tcW w:w="1283" w:type="dxa"/>
            <w:noWrap w:val="0"/>
            <w:vAlign w:val="center"/>
          </w:tcPr>
          <w:p w14:paraId="3ED2E51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w:t>
            </w:r>
          </w:p>
        </w:tc>
      </w:tr>
      <w:tr w14:paraId="3D7BE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6F5A06BA">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5ADB177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6039353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4529128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Y≥40000</w:t>
            </w:r>
          </w:p>
        </w:tc>
        <w:tc>
          <w:tcPr>
            <w:tcW w:w="2172" w:type="dxa"/>
            <w:noWrap w:val="0"/>
            <w:vAlign w:val="center"/>
          </w:tcPr>
          <w:p w14:paraId="4544537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2000≤Y＜40000</w:t>
            </w:r>
          </w:p>
        </w:tc>
        <w:tc>
          <w:tcPr>
            <w:tcW w:w="2016" w:type="dxa"/>
            <w:noWrap w:val="0"/>
            <w:vAlign w:val="center"/>
          </w:tcPr>
          <w:p w14:paraId="499E262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300≤Y＜2000</w:t>
            </w:r>
          </w:p>
        </w:tc>
        <w:tc>
          <w:tcPr>
            <w:tcW w:w="1283" w:type="dxa"/>
            <w:noWrap w:val="0"/>
            <w:vAlign w:val="center"/>
          </w:tcPr>
          <w:p w14:paraId="684AC84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Y＜300</w:t>
            </w:r>
          </w:p>
        </w:tc>
      </w:tr>
      <w:tr w14:paraId="01F7B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055D4A1C">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建筑业</w:t>
            </w:r>
          </w:p>
        </w:tc>
        <w:tc>
          <w:tcPr>
            <w:tcW w:w="1506" w:type="dxa"/>
            <w:noWrap w:val="0"/>
            <w:vAlign w:val="center"/>
          </w:tcPr>
          <w:p w14:paraId="14CD468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48491D1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391462C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Y≥80000</w:t>
            </w:r>
          </w:p>
        </w:tc>
        <w:tc>
          <w:tcPr>
            <w:tcW w:w="2172" w:type="dxa"/>
            <w:noWrap w:val="0"/>
            <w:vAlign w:val="center"/>
          </w:tcPr>
          <w:p w14:paraId="59B1B1A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6000≤Y＜80000</w:t>
            </w:r>
          </w:p>
        </w:tc>
        <w:tc>
          <w:tcPr>
            <w:tcW w:w="2016" w:type="dxa"/>
            <w:noWrap w:val="0"/>
            <w:vAlign w:val="center"/>
          </w:tcPr>
          <w:p w14:paraId="1661317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300≤Y＜6000</w:t>
            </w:r>
          </w:p>
        </w:tc>
        <w:tc>
          <w:tcPr>
            <w:tcW w:w="1283" w:type="dxa"/>
            <w:noWrap w:val="0"/>
            <w:vAlign w:val="center"/>
          </w:tcPr>
          <w:p w14:paraId="388C878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Y＜300</w:t>
            </w:r>
          </w:p>
        </w:tc>
      </w:tr>
      <w:tr w14:paraId="166C1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0C2BB026">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069EBED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资产总额(Z)</w:t>
            </w:r>
          </w:p>
        </w:tc>
        <w:tc>
          <w:tcPr>
            <w:tcW w:w="752" w:type="dxa"/>
            <w:noWrap w:val="0"/>
            <w:vAlign w:val="center"/>
          </w:tcPr>
          <w:p w14:paraId="77C3391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0B3FF98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Z≥80000</w:t>
            </w:r>
          </w:p>
        </w:tc>
        <w:tc>
          <w:tcPr>
            <w:tcW w:w="2172" w:type="dxa"/>
            <w:noWrap w:val="0"/>
            <w:vAlign w:val="center"/>
          </w:tcPr>
          <w:p w14:paraId="4DCB27C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5000≤Z＜80000</w:t>
            </w:r>
          </w:p>
        </w:tc>
        <w:tc>
          <w:tcPr>
            <w:tcW w:w="2016" w:type="dxa"/>
            <w:noWrap w:val="0"/>
            <w:vAlign w:val="center"/>
          </w:tcPr>
          <w:p w14:paraId="3F5098C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300≤Z＜5000</w:t>
            </w:r>
          </w:p>
        </w:tc>
        <w:tc>
          <w:tcPr>
            <w:tcW w:w="1283" w:type="dxa"/>
            <w:noWrap w:val="0"/>
            <w:vAlign w:val="center"/>
          </w:tcPr>
          <w:p w14:paraId="0E74B2A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Z＜300</w:t>
            </w:r>
          </w:p>
        </w:tc>
      </w:tr>
      <w:tr w14:paraId="7B33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7BB9EE19">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批发业</w:t>
            </w:r>
          </w:p>
        </w:tc>
        <w:tc>
          <w:tcPr>
            <w:tcW w:w="1506" w:type="dxa"/>
            <w:noWrap w:val="0"/>
            <w:vAlign w:val="center"/>
          </w:tcPr>
          <w:p w14:paraId="15F85E3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3B35170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55E9969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X≥200</w:t>
            </w:r>
          </w:p>
        </w:tc>
        <w:tc>
          <w:tcPr>
            <w:tcW w:w="2172" w:type="dxa"/>
            <w:noWrap w:val="0"/>
            <w:vAlign w:val="center"/>
          </w:tcPr>
          <w:p w14:paraId="2C55E47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20≤X＜200</w:t>
            </w:r>
          </w:p>
        </w:tc>
        <w:tc>
          <w:tcPr>
            <w:tcW w:w="2016" w:type="dxa"/>
            <w:noWrap w:val="0"/>
            <w:vAlign w:val="center"/>
          </w:tcPr>
          <w:p w14:paraId="5EF97CD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5≤X＜20</w:t>
            </w:r>
          </w:p>
        </w:tc>
        <w:tc>
          <w:tcPr>
            <w:tcW w:w="1283" w:type="dxa"/>
            <w:noWrap w:val="0"/>
            <w:vAlign w:val="center"/>
          </w:tcPr>
          <w:p w14:paraId="6709775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X＜5</w:t>
            </w:r>
          </w:p>
        </w:tc>
      </w:tr>
      <w:tr w14:paraId="3AD187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5FDC65C2">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0C677F5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6603431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5F861EE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Y≥40000</w:t>
            </w:r>
          </w:p>
        </w:tc>
        <w:tc>
          <w:tcPr>
            <w:tcW w:w="2172" w:type="dxa"/>
            <w:noWrap w:val="0"/>
            <w:vAlign w:val="center"/>
          </w:tcPr>
          <w:p w14:paraId="322805C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5000≤Y＜40000</w:t>
            </w:r>
          </w:p>
        </w:tc>
        <w:tc>
          <w:tcPr>
            <w:tcW w:w="2016" w:type="dxa"/>
            <w:noWrap w:val="0"/>
            <w:vAlign w:val="center"/>
          </w:tcPr>
          <w:p w14:paraId="0BDA409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1000≤Y＜5000</w:t>
            </w:r>
          </w:p>
        </w:tc>
        <w:tc>
          <w:tcPr>
            <w:tcW w:w="1283" w:type="dxa"/>
            <w:noWrap w:val="0"/>
            <w:vAlign w:val="center"/>
          </w:tcPr>
          <w:p w14:paraId="14EBEE7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Y＜1000</w:t>
            </w:r>
          </w:p>
        </w:tc>
      </w:tr>
      <w:tr w14:paraId="64C1D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78AEE97F">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零售业</w:t>
            </w:r>
          </w:p>
        </w:tc>
        <w:tc>
          <w:tcPr>
            <w:tcW w:w="1506" w:type="dxa"/>
            <w:noWrap w:val="0"/>
            <w:vAlign w:val="center"/>
          </w:tcPr>
          <w:p w14:paraId="0717F5D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296E6EE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2D12BCD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1C59B94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50≤X＜300</w:t>
            </w:r>
          </w:p>
        </w:tc>
        <w:tc>
          <w:tcPr>
            <w:tcW w:w="2016" w:type="dxa"/>
            <w:noWrap w:val="0"/>
            <w:vAlign w:val="center"/>
          </w:tcPr>
          <w:p w14:paraId="7A783A9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10≤X＜50 </w:t>
            </w:r>
          </w:p>
        </w:tc>
        <w:tc>
          <w:tcPr>
            <w:tcW w:w="1283" w:type="dxa"/>
            <w:noWrap w:val="0"/>
            <w:vAlign w:val="center"/>
          </w:tcPr>
          <w:p w14:paraId="637EB56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015FA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3BE050D0">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335BDA3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4A110E4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01D4D95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Y≥20000</w:t>
            </w:r>
          </w:p>
        </w:tc>
        <w:tc>
          <w:tcPr>
            <w:tcW w:w="2172" w:type="dxa"/>
            <w:noWrap w:val="0"/>
            <w:vAlign w:val="center"/>
          </w:tcPr>
          <w:p w14:paraId="0B0F3F3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500≤Y＜20000</w:t>
            </w:r>
          </w:p>
        </w:tc>
        <w:tc>
          <w:tcPr>
            <w:tcW w:w="2016" w:type="dxa"/>
            <w:noWrap w:val="0"/>
            <w:vAlign w:val="center"/>
          </w:tcPr>
          <w:p w14:paraId="5A8A088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100≤Y＜500 </w:t>
            </w:r>
          </w:p>
        </w:tc>
        <w:tc>
          <w:tcPr>
            <w:tcW w:w="1283" w:type="dxa"/>
            <w:noWrap w:val="0"/>
            <w:vAlign w:val="center"/>
          </w:tcPr>
          <w:p w14:paraId="637EF28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31B13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23B57AB9">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交通运输业 *</w:t>
            </w:r>
          </w:p>
        </w:tc>
        <w:tc>
          <w:tcPr>
            <w:tcW w:w="1506" w:type="dxa"/>
            <w:noWrap w:val="0"/>
            <w:vAlign w:val="center"/>
          </w:tcPr>
          <w:p w14:paraId="03228AB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58AF69B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139D928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X≥1000</w:t>
            </w:r>
          </w:p>
        </w:tc>
        <w:tc>
          <w:tcPr>
            <w:tcW w:w="2172" w:type="dxa"/>
            <w:noWrap w:val="0"/>
            <w:vAlign w:val="center"/>
          </w:tcPr>
          <w:p w14:paraId="17D553D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300≤X＜1000</w:t>
            </w:r>
          </w:p>
        </w:tc>
        <w:tc>
          <w:tcPr>
            <w:tcW w:w="2016" w:type="dxa"/>
            <w:noWrap w:val="0"/>
            <w:vAlign w:val="center"/>
          </w:tcPr>
          <w:p w14:paraId="5761076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20≤X＜300</w:t>
            </w:r>
          </w:p>
        </w:tc>
        <w:tc>
          <w:tcPr>
            <w:tcW w:w="1283" w:type="dxa"/>
            <w:noWrap w:val="0"/>
            <w:vAlign w:val="center"/>
          </w:tcPr>
          <w:p w14:paraId="0DA4072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w:t>
            </w:r>
          </w:p>
        </w:tc>
      </w:tr>
      <w:tr w14:paraId="3230A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717C932A">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352814B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4BD017C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62EDEF7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Y≥30000</w:t>
            </w:r>
          </w:p>
        </w:tc>
        <w:tc>
          <w:tcPr>
            <w:tcW w:w="2172" w:type="dxa"/>
            <w:noWrap w:val="0"/>
            <w:vAlign w:val="center"/>
          </w:tcPr>
          <w:p w14:paraId="1F4AB72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3000≤Y＜30000</w:t>
            </w:r>
          </w:p>
        </w:tc>
        <w:tc>
          <w:tcPr>
            <w:tcW w:w="2016" w:type="dxa"/>
            <w:noWrap w:val="0"/>
            <w:vAlign w:val="center"/>
          </w:tcPr>
          <w:p w14:paraId="435D778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200≤Y＜3000</w:t>
            </w:r>
          </w:p>
        </w:tc>
        <w:tc>
          <w:tcPr>
            <w:tcW w:w="1283" w:type="dxa"/>
            <w:noWrap w:val="0"/>
            <w:vAlign w:val="center"/>
          </w:tcPr>
          <w:p w14:paraId="574F4DF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Y＜200</w:t>
            </w:r>
          </w:p>
        </w:tc>
      </w:tr>
      <w:tr w14:paraId="67D98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154ACBEF">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仓储业*</w:t>
            </w:r>
          </w:p>
        </w:tc>
        <w:tc>
          <w:tcPr>
            <w:tcW w:w="1506" w:type="dxa"/>
            <w:noWrap w:val="0"/>
            <w:vAlign w:val="center"/>
          </w:tcPr>
          <w:p w14:paraId="45B77C3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60CA4D1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2E412CB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X≥200</w:t>
            </w:r>
          </w:p>
        </w:tc>
        <w:tc>
          <w:tcPr>
            <w:tcW w:w="2172" w:type="dxa"/>
            <w:noWrap w:val="0"/>
            <w:vAlign w:val="center"/>
          </w:tcPr>
          <w:p w14:paraId="5ED4C12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100≤X＜200</w:t>
            </w:r>
          </w:p>
        </w:tc>
        <w:tc>
          <w:tcPr>
            <w:tcW w:w="2016" w:type="dxa"/>
            <w:noWrap w:val="0"/>
            <w:vAlign w:val="center"/>
          </w:tcPr>
          <w:p w14:paraId="63C3AAD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20≤X＜100</w:t>
            </w:r>
          </w:p>
        </w:tc>
        <w:tc>
          <w:tcPr>
            <w:tcW w:w="1283" w:type="dxa"/>
            <w:noWrap w:val="0"/>
            <w:vAlign w:val="center"/>
          </w:tcPr>
          <w:p w14:paraId="4CE10CB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w:t>
            </w:r>
          </w:p>
        </w:tc>
      </w:tr>
      <w:tr w14:paraId="3AA03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37243DFB">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0468C61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5E187E8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2725F15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Y≥30000</w:t>
            </w:r>
          </w:p>
        </w:tc>
        <w:tc>
          <w:tcPr>
            <w:tcW w:w="2172" w:type="dxa"/>
            <w:noWrap w:val="0"/>
            <w:vAlign w:val="center"/>
          </w:tcPr>
          <w:p w14:paraId="3BFC581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1000≤Y＜30000</w:t>
            </w:r>
          </w:p>
        </w:tc>
        <w:tc>
          <w:tcPr>
            <w:tcW w:w="2016" w:type="dxa"/>
            <w:noWrap w:val="0"/>
            <w:vAlign w:val="center"/>
          </w:tcPr>
          <w:p w14:paraId="3DA19B1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100≤Y＜1000</w:t>
            </w:r>
          </w:p>
        </w:tc>
        <w:tc>
          <w:tcPr>
            <w:tcW w:w="1283" w:type="dxa"/>
            <w:noWrap w:val="0"/>
            <w:vAlign w:val="center"/>
          </w:tcPr>
          <w:p w14:paraId="455FA53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703C4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42E34C1E">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邮政业</w:t>
            </w:r>
          </w:p>
        </w:tc>
        <w:tc>
          <w:tcPr>
            <w:tcW w:w="1506" w:type="dxa"/>
            <w:noWrap w:val="0"/>
            <w:vAlign w:val="center"/>
          </w:tcPr>
          <w:p w14:paraId="4036DF9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179CE46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5647367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X≥1000</w:t>
            </w:r>
          </w:p>
        </w:tc>
        <w:tc>
          <w:tcPr>
            <w:tcW w:w="2172" w:type="dxa"/>
            <w:noWrap w:val="0"/>
            <w:vAlign w:val="center"/>
          </w:tcPr>
          <w:p w14:paraId="07EE9DB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300≤X＜1000</w:t>
            </w:r>
          </w:p>
        </w:tc>
        <w:tc>
          <w:tcPr>
            <w:tcW w:w="2016" w:type="dxa"/>
            <w:noWrap w:val="0"/>
            <w:vAlign w:val="center"/>
          </w:tcPr>
          <w:p w14:paraId="7185E6A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20≤X＜300</w:t>
            </w:r>
          </w:p>
        </w:tc>
        <w:tc>
          <w:tcPr>
            <w:tcW w:w="1283" w:type="dxa"/>
            <w:noWrap w:val="0"/>
            <w:vAlign w:val="center"/>
          </w:tcPr>
          <w:p w14:paraId="3158CBC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w:t>
            </w:r>
          </w:p>
        </w:tc>
      </w:tr>
      <w:tr w14:paraId="53AA1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17308733">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30DF813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579E740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46FFCAA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Y≥30000</w:t>
            </w:r>
          </w:p>
        </w:tc>
        <w:tc>
          <w:tcPr>
            <w:tcW w:w="2172" w:type="dxa"/>
            <w:noWrap w:val="0"/>
            <w:vAlign w:val="center"/>
          </w:tcPr>
          <w:p w14:paraId="5C3B6AF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2000≤Y＜30000</w:t>
            </w:r>
          </w:p>
        </w:tc>
        <w:tc>
          <w:tcPr>
            <w:tcW w:w="2016" w:type="dxa"/>
            <w:noWrap w:val="0"/>
            <w:vAlign w:val="center"/>
          </w:tcPr>
          <w:p w14:paraId="1EEFD39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100≤Y＜2000</w:t>
            </w:r>
          </w:p>
        </w:tc>
        <w:tc>
          <w:tcPr>
            <w:tcW w:w="1283" w:type="dxa"/>
            <w:noWrap w:val="0"/>
            <w:vAlign w:val="center"/>
          </w:tcPr>
          <w:p w14:paraId="3686759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14BD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745939E9">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住宿业</w:t>
            </w:r>
          </w:p>
        </w:tc>
        <w:tc>
          <w:tcPr>
            <w:tcW w:w="1506" w:type="dxa"/>
            <w:noWrap w:val="0"/>
            <w:vAlign w:val="center"/>
          </w:tcPr>
          <w:p w14:paraId="77B40CA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56A2D87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131368C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290431A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2016" w:type="dxa"/>
            <w:noWrap w:val="0"/>
            <w:vAlign w:val="center"/>
          </w:tcPr>
          <w:p w14:paraId="76EE188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62571E7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327F3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0066B21C">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2886E46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4DBB274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46E95F8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Y≥10000</w:t>
            </w:r>
          </w:p>
        </w:tc>
        <w:tc>
          <w:tcPr>
            <w:tcW w:w="2172" w:type="dxa"/>
            <w:noWrap w:val="0"/>
            <w:vAlign w:val="center"/>
          </w:tcPr>
          <w:p w14:paraId="234CECB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2000≤Y＜10000</w:t>
            </w:r>
          </w:p>
        </w:tc>
        <w:tc>
          <w:tcPr>
            <w:tcW w:w="2016" w:type="dxa"/>
            <w:noWrap w:val="0"/>
            <w:vAlign w:val="center"/>
          </w:tcPr>
          <w:p w14:paraId="4270805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100≤Y＜2000</w:t>
            </w:r>
          </w:p>
        </w:tc>
        <w:tc>
          <w:tcPr>
            <w:tcW w:w="1283" w:type="dxa"/>
            <w:noWrap w:val="0"/>
            <w:vAlign w:val="center"/>
          </w:tcPr>
          <w:p w14:paraId="438C6EB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1F714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5FF7F76D">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餐饮业</w:t>
            </w:r>
          </w:p>
        </w:tc>
        <w:tc>
          <w:tcPr>
            <w:tcW w:w="1506" w:type="dxa"/>
            <w:noWrap w:val="0"/>
            <w:vAlign w:val="center"/>
          </w:tcPr>
          <w:p w14:paraId="2DBB6B1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726D780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57A272B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52C5FF4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2016" w:type="dxa"/>
            <w:noWrap w:val="0"/>
            <w:vAlign w:val="center"/>
          </w:tcPr>
          <w:p w14:paraId="6DFF455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358BB11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1BD2B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084FA0C2">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5563A36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01D66FF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46FEF86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Y≥10000</w:t>
            </w:r>
          </w:p>
        </w:tc>
        <w:tc>
          <w:tcPr>
            <w:tcW w:w="2172" w:type="dxa"/>
            <w:noWrap w:val="0"/>
            <w:vAlign w:val="center"/>
          </w:tcPr>
          <w:p w14:paraId="1E239ED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2000≤Y＜10000</w:t>
            </w:r>
          </w:p>
        </w:tc>
        <w:tc>
          <w:tcPr>
            <w:tcW w:w="2016" w:type="dxa"/>
            <w:noWrap w:val="0"/>
            <w:vAlign w:val="center"/>
          </w:tcPr>
          <w:p w14:paraId="381D803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100≤Y＜2000</w:t>
            </w:r>
          </w:p>
        </w:tc>
        <w:tc>
          <w:tcPr>
            <w:tcW w:w="1283" w:type="dxa"/>
            <w:noWrap w:val="0"/>
            <w:vAlign w:val="center"/>
          </w:tcPr>
          <w:p w14:paraId="383FDBB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04692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12055A65">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信息传输业 *</w:t>
            </w:r>
          </w:p>
        </w:tc>
        <w:tc>
          <w:tcPr>
            <w:tcW w:w="1506" w:type="dxa"/>
            <w:noWrap w:val="0"/>
            <w:vAlign w:val="center"/>
          </w:tcPr>
          <w:p w14:paraId="22DC445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31D29DA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6F1EE06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X≥2000</w:t>
            </w:r>
          </w:p>
        </w:tc>
        <w:tc>
          <w:tcPr>
            <w:tcW w:w="2172" w:type="dxa"/>
            <w:noWrap w:val="0"/>
            <w:vAlign w:val="center"/>
          </w:tcPr>
          <w:p w14:paraId="047D42F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100≤X＜2000</w:t>
            </w:r>
          </w:p>
        </w:tc>
        <w:tc>
          <w:tcPr>
            <w:tcW w:w="2016" w:type="dxa"/>
            <w:noWrap w:val="0"/>
            <w:vAlign w:val="center"/>
          </w:tcPr>
          <w:p w14:paraId="2FCE714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7DA3901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0487D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0B91F666">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06A9D78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5B94D79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31F2E05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Y≥100000</w:t>
            </w:r>
          </w:p>
        </w:tc>
        <w:tc>
          <w:tcPr>
            <w:tcW w:w="2172" w:type="dxa"/>
            <w:noWrap w:val="0"/>
            <w:vAlign w:val="center"/>
          </w:tcPr>
          <w:p w14:paraId="42D22BD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1000≤Y＜100000</w:t>
            </w:r>
          </w:p>
        </w:tc>
        <w:tc>
          <w:tcPr>
            <w:tcW w:w="2016" w:type="dxa"/>
            <w:noWrap w:val="0"/>
            <w:vAlign w:val="center"/>
          </w:tcPr>
          <w:p w14:paraId="58B1281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100≤Y＜1000</w:t>
            </w:r>
          </w:p>
        </w:tc>
        <w:tc>
          <w:tcPr>
            <w:tcW w:w="1283" w:type="dxa"/>
            <w:noWrap w:val="0"/>
            <w:vAlign w:val="center"/>
          </w:tcPr>
          <w:p w14:paraId="6F6BB4B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3D4CE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3A5B1F0E">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spacing w:val="-12"/>
                <w:kern w:val="0"/>
                <w:sz w:val="24"/>
                <w:szCs w:val="24"/>
                <w:highlight w:val="none"/>
                <w:lang w:val="en-US" w:eastAsia="zh-CN" w:bidi="ar-SA"/>
              </w:rPr>
            </w:pPr>
            <w:r>
              <w:rPr>
                <w:rFonts w:hint="eastAsia" w:ascii="宋体" w:hAnsi="宋体" w:eastAsia="宋体" w:cs="宋体"/>
                <w:color w:val="auto"/>
                <w:spacing w:val="-12"/>
                <w:kern w:val="0"/>
                <w:sz w:val="24"/>
                <w:szCs w:val="24"/>
                <w:highlight w:val="none"/>
                <w:lang w:val="en-US" w:eastAsia="zh-CN" w:bidi="ar-SA"/>
              </w:rPr>
              <w:t>软件和信息技术服</w:t>
            </w:r>
            <w:r>
              <w:rPr>
                <w:rFonts w:hint="eastAsia" w:ascii="宋体" w:hAnsi="宋体" w:eastAsia="宋体" w:cs="宋体"/>
                <w:color w:val="auto"/>
                <w:kern w:val="0"/>
                <w:sz w:val="24"/>
                <w:szCs w:val="24"/>
                <w:highlight w:val="none"/>
                <w:lang w:val="en-US" w:eastAsia="zh-CN" w:bidi="ar-SA"/>
              </w:rPr>
              <w:t>务业</w:t>
            </w:r>
          </w:p>
        </w:tc>
        <w:tc>
          <w:tcPr>
            <w:tcW w:w="1506" w:type="dxa"/>
            <w:noWrap w:val="0"/>
            <w:vAlign w:val="center"/>
          </w:tcPr>
          <w:p w14:paraId="3A3E48B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6FE0C50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2038080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167E277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2016" w:type="dxa"/>
            <w:noWrap w:val="0"/>
            <w:vAlign w:val="center"/>
          </w:tcPr>
          <w:p w14:paraId="039F2E9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0B486B4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1C8F8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6" w:hRule="exact"/>
          <w:jc w:val="center"/>
        </w:trPr>
        <w:tc>
          <w:tcPr>
            <w:tcW w:w="1532" w:type="dxa"/>
            <w:vMerge w:val="continue"/>
            <w:noWrap w:val="0"/>
            <w:vAlign w:val="center"/>
          </w:tcPr>
          <w:p w14:paraId="31E5E5A0">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spacing w:val="-12"/>
                <w:kern w:val="0"/>
                <w:sz w:val="24"/>
                <w:szCs w:val="24"/>
                <w:highlight w:val="none"/>
                <w:lang w:val="en-US" w:eastAsia="zh-CN" w:bidi="ar-SA"/>
              </w:rPr>
            </w:pPr>
          </w:p>
        </w:tc>
        <w:tc>
          <w:tcPr>
            <w:tcW w:w="1506" w:type="dxa"/>
            <w:noWrap w:val="0"/>
            <w:vAlign w:val="center"/>
          </w:tcPr>
          <w:p w14:paraId="6C66C3A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6941177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3142846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Y≥10000</w:t>
            </w:r>
          </w:p>
        </w:tc>
        <w:tc>
          <w:tcPr>
            <w:tcW w:w="2172" w:type="dxa"/>
            <w:noWrap w:val="0"/>
            <w:vAlign w:val="center"/>
          </w:tcPr>
          <w:p w14:paraId="5280BC9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1000≤Y＜10000</w:t>
            </w:r>
          </w:p>
        </w:tc>
        <w:tc>
          <w:tcPr>
            <w:tcW w:w="2016" w:type="dxa"/>
            <w:noWrap w:val="0"/>
            <w:vAlign w:val="center"/>
          </w:tcPr>
          <w:p w14:paraId="5D2F72E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50≤Y＜1000</w:t>
            </w:r>
          </w:p>
        </w:tc>
        <w:tc>
          <w:tcPr>
            <w:tcW w:w="1283" w:type="dxa"/>
            <w:noWrap w:val="0"/>
            <w:vAlign w:val="center"/>
          </w:tcPr>
          <w:p w14:paraId="4BBC283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Y＜50</w:t>
            </w:r>
          </w:p>
        </w:tc>
      </w:tr>
      <w:tr w14:paraId="1EEA1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363A5729">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房地产开发经营</w:t>
            </w:r>
          </w:p>
        </w:tc>
        <w:tc>
          <w:tcPr>
            <w:tcW w:w="1506" w:type="dxa"/>
            <w:noWrap w:val="0"/>
            <w:vAlign w:val="center"/>
          </w:tcPr>
          <w:p w14:paraId="33117E3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27B1352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5B9D816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Y≥200000</w:t>
            </w:r>
          </w:p>
        </w:tc>
        <w:tc>
          <w:tcPr>
            <w:tcW w:w="2172" w:type="dxa"/>
            <w:noWrap w:val="0"/>
            <w:vAlign w:val="center"/>
          </w:tcPr>
          <w:p w14:paraId="5EB9098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1000≤Y＜200000</w:t>
            </w:r>
          </w:p>
        </w:tc>
        <w:tc>
          <w:tcPr>
            <w:tcW w:w="2016" w:type="dxa"/>
            <w:noWrap w:val="0"/>
            <w:vAlign w:val="center"/>
          </w:tcPr>
          <w:p w14:paraId="6DECC20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100≤Y＜1000</w:t>
            </w:r>
          </w:p>
        </w:tc>
        <w:tc>
          <w:tcPr>
            <w:tcW w:w="1283" w:type="dxa"/>
            <w:noWrap w:val="0"/>
            <w:vAlign w:val="center"/>
          </w:tcPr>
          <w:p w14:paraId="74325E2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Y＜100</w:t>
            </w:r>
          </w:p>
        </w:tc>
      </w:tr>
      <w:tr w14:paraId="7082E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109F105A">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2C2E4B5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资产总额(Z)</w:t>
            </w:r>
          </w:p>
        </w:tc>
        <w:tc>
          <w:tcPr>
            <w:tcW w:w="752" w:type="dxa"/>
            <w:noWrap w:val="0"/>
            <w:vAlign w:val="center"/>
          </w:tcPr>
          <w:p w14:paraId="46A3565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679FBE6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Z≥10000</w:t>
            </w:r>
          </w:p>
        </w:tc>
        <w:tc>
          <w:tcPr>
            <w:tcW w:w="2172" w:type="dxa"/>
            <w:noWrap w:val="0"/>
            <w:vAlign w:val="center"/>
          </w:tcPr>
          <w:p w14:paraId="34D497B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5000≤Z＜10000</w:t>
            </w:r>
          </w:p>
        </w:tc>
        <w:tc>
          <w:tcPr>
            <w:tcW w:w="2016" w:type="dxa"/>
            <w:noWrap w:val="0"/>
            <w:vAlign w:val="center"/>
          </w:tcPr>
          <w:p w14:paraId="45F2502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2000≤Z＜5000 </w:t>
            </w:r>
          </w:p>
        </w:tc>
        <w:tc>
          <w:tcPr>
            <w:tcW w:w="1283" w:type="dxa"/>
            <w:noWrap w:val="0"/>
            <w:vAlign w:val="center"/>
          </w:tcPr>
          <w:p w14:paraId="6955E0B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Z＜2000</w:t>
            </w:r>
          </w:p>
        </w:tc>
      </w:tr>
      <w:tr w14:paraId="280E7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1586AE45">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物业管理</w:t>
            </w:r>
          </w:p>
        </w:tc>
        <w:tc>
          <w:tcPr>
            <w:tcW w:w="1506" w:type="dxa"/>
            <w:noWrap w:val="0"/>
            <w:vAlign w:val="center"/>
          </w:tcPr>
          <w:p w14:paraId="4365DE3B">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025571D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07CEB8F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X≥1000</w:t>
            </w:r>
          </w:p>
        </w:tc>
        <w:tc>
          <w:tcPr>
            <w:tcW w:w="2172" w:type="dxa"/>
            <w:noWrap w:val="0"/>
            <w:vAlign w:val="center"/>
          </w:tcPr>
          <w:p w14:paraId="7B90C1F0">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300≤X＜1000</w:t>
            </w:r>
          </w:p>
        </w:tc>
        <w:tc>
          <w:tcPr>
            <w:tcW w:w="2016" w:type="dxa"/>
            <w:noWrap w:val="0"/>
            <w:vAlign w:val="center"/>
          </w:tcPr>
          <w:p w14:paraId="57D7C07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1283" w:type="dxa"/>
            <w:noWrap w:val="0"/>
            <w:vAlign w:val="center"/>
          </w:tcPr>
          <w:p w14:paraId="5EA3972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X＜100</w:t>
            </w:r>
          </w:p>
        </w:tc>
      </w:tr>
      <w:tr w14:paraId="0F388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4A3D27EB">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13DE949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营业收入(Y)</w:t>
            </w:r>
          </w:p>
        </w:tc>
        <w:tc>
          <w:tcPr>
            <w:tcW w:w="752" w:type="dxa"/>
            <w:noWrap w:val="0"/>
            <w:vAlign w:val="center"/>
          </w:tcPr>
          <w:p w14:paraId="300B7E5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33BDB95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Y≥5000</w:t>
            </w:r>
          </w:p>
        </w:tc>
        <w:tc>
          <w:tcPr>
            <w:tcW w:w="2172" w:type="dxa"/>
            <w:noWrap w:val="0"/>
            <w:vAlign w:val="center"/>
          </w:tcPr>
          <w:p w14:paraId="64058EE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1000≤Y＜5000 </w:t>
            </w:r>
          </w:p>
        </w:tc>
        <w:tc>
          <w:tcPr>
            <w:tcW w:w="2016" w:type="dxa"/>
            <w:noWrap w:val="0"/>
            <w:vAlign w:val="center"/>
          </w:tcPr>
          <w:p w14:paraId="2BAA3B8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500≤Y＜1000</w:t>
            </w:r>
          </w:p>
        </w:tc>
        <w:tc>
          <w:tcPr>
            <w:tcW w:w="1283" w:type="dxa"/>
            <w:noWrap w:val="0"/>
            <w:vAlign w:val="center"/>
          </w:tcPr>
          <w:p w14:paraId="3F54876F">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Y＜500</w:t>
            </w:r>
          </w:p>
        </w:tc>
      </w:tr>
      <w:tr w14:paraId="408A0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restart"/>
            <w:noWrap w:val="0"/>
            <w:vAlign w:val="center"/>
          </w:tcPr>
          <w:p w14:paraId="58A604A8">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租赁和商务服务业</w:t>
            </w:r>
          </w:p>
        </w:tc>
        <w:tc>
          <w:tcPr>
            <w:tcW w:w="1506" w:type="dxa"/>
            <w:noWrap w:val="0"/>
            <w:vAlign w:val="center"/>
          </w:tcPr>
          <w:p w14:paraId="470AFAA4">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7CFC7CD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35FF19B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38D21717">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2016" w:type="dxa"/>
            <w:noWrap w:val="0"/>
            <w:vAlign w:val="center"/>
          </w:tcPr>
          <w:p w14:paraId="47F40E4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43C5307C">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r w14:paraId="652CB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exact"/>
          <w:jc w:val="center"/>
        </w:trPr>
        <w:tc>
          <w:tcPr>
            <w:tcW w:w="1532" w:type="dxa"/>
            <w:vMerge w:val="continue"/>
            <w:noWrap w:val="0"/>
            <w:vAlign w:val="center"/>
          </w:tcPr>
          <w:p w14:paraId="33B1BA01">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p>
        </w:tc>
        <w:tc>
          <w:tcPr>
            <w:tcW w:w="1506" w:type="dxa"/>
            <w:noWrap w:val="0"/>
            <w:vAlign w:val="center"/>
          </w:tcPr>
          <w:p w14:paraId="1A87E87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资产总额(Z)</w:t>
            </w:r>
          </w:p>
        </w:tc>
        <w:tc>
          <w:tcPr>
            <w:tcW w:w="752" w:type="dxa"/>
            <w:noWrap w:val="0"/>
            <w:vAlign w:val="center"/>
          </w:tcPr>
          <w:p w14:paraId="0E6B44D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万元</w:t>
            </w:r>
          </w:p>
        </w:tc>
        <w:tc>
          <w:tcPr>
            <w:tcW w:w="1379" w:type="dxa"/>
            <w:noWrap w:val="0"/>
            <w:vAlign w:val="center"/>
          </w:tcPr>
          <w:p w14:paraId="75C39FE3">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Z≥120000</w:t>
            </w:r>
          </w:p>
        </w:tc>
        <w:tc>
          <w:tcPr>
            <w:tcW w:w="2172" w:type="dxa"/>
            <w:noWrap w:val="0"/>
            <w:vAlign w:val="center"/>
          </w:tcPr>
          <w:p w14:paraId="3B3D0C9A">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8000≤Z＜120000</w:t>
            </w:r>
          </w:p>
        </w:tc>
        <w:tc>
          <w:tcPr>
            <w:tcW w:w="2016" w:type="dxa"/>
            <w:noWrap w:val="0"/>
            <w:vAlign w:val="center"/>
          </w:tcPr>
          <w:p w14:paraId="14D3C8A5">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100≤Z＜8000</w:t>
            </w:r>
          </w:p>
        </w:tc>
        <w:tc>
          <w:tcPr>
            <w:tcW w:w="1283" w:type="dxa"/>
            <w:noWrap w:val="0"/>
            <w:vAlign w:val="center"/>
          </w:tcPr>
          <w:p w14:paraId="4CA774F2">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Z＜100</w:t>
            </w:r>
          </w:p>
        </w:tc>
      </w:tr>
      <w:tr w14:paraId="169F6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4" w:hRule="exact"/>
          <w:jc w:val="center"/>
        </w:trPr>
        <w:tc>
          <w:tcPr>
            <w:tcW w:w="1532" w:type="dxa"/>
            <w:noWrap w:val="0"/>
            <w:vAlign w:val="center"/>
          </w:tcPr>
          <w:p w14:paraId="7A626123">
            <w:pPr>
              <w:keepNext w:val="0"/>
              <w:keepLines w:val="0"/>
              <w:pageBreakBefore w:val="0"/>
              <w:widowControl/>
              <w:kinsoku/>
              <w:wordWrap/>
              <w:overflowPunct/>
              <w:topLinePunct w:val="0"/>
              <w:autoSpaceDE/>
              <w:autoSpaceDN/>
              <w:bidi w:val="0"/>
              <w:adjustRightInd/>
              <w:snapToGrid/>
              <w:spacing w:line="480" w:lineRule="exact"/>
              <w:jc w:val="center"/>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其他未列明行业 *</w:t>
            </w:r>
          </w:p>
        </w:tc>
        <w:tc>
          <w:tcPr>
            <w:tcW w:w="1506" w:type="dxa"/>
            <w:noWrap w:val="0"/>
            <w:vAlign w:val="center"/>
          </w:tcPr>
          <w:p w14:paraId="76A3CFE8">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从业人员(X)</w:t>
            </w:r>
          </w:p>
        </w:tc>
        <w:tc>
          <w:tcPr>
            <w:tcW w:w="752" w:type="dxa"/>
            <w:noWrap w:val="0"/>
            <w:vAlign w:val="center"/>
          </w:tcPr>
          <w:p w14:paraId="3858305D">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w:t>
            </w:r>
          </w:p>
        </w:tc>
        <w:tc>
          <w:tcPr>
            <w:tcW w:w="1379" w:type="dxa"/>
            <w:noWrap w:val="0"/>
            <w:vAlign w:val="center"/>
          </w:tcPr>
          <w:p w14:paraId="20197DE9">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X≥300</w:t>
            </w:r>
          </w:p>
        </w:tc>
        <w:tc>
          <w:tcPr>
            <w:tcW w:w="2172" w:type="dxa"/>
            <w:noWrap w:val="0"/>
            <w:vAlign w:val="center"/>
          </w:tcPr>
          <w:p w14:paraId="6606D776">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100≤X＜300 </w:t>
            </w:r>
          </w:p>
        </w:tc>
        <w:tc>
          <w:tcPr>
            <w:tcW w:w="2016" w:type="dxa"/>
            <w:noWrap w:val="0"/>
            <w:vAlign w:val="center"/>
          </w:tcPr>
          <w:p w14:paraId="5C084391">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10≤X＜100</w:t>
            </w:r>
          </w:p>
        </w:tc>
        <w:tc>
          <w:tcPr>
            <w:tcW w:w="1283" w:type="dxa"/>
            <w:noWrap w:val="0"/>
            <w:vAlign w:val="center"/>
          </w:tcPr>
          <w:p w14:paraId="5146332E">
            <w:pPr>
              <w:keepNext w:val="0"/>
              <w:keepLines w:val="0"/>
              <w:pageBreakBefore w:val="0"/>
              <w:widowControl/>
              <w:kinsoku/>
              <w:wordWrap/>
              <w:overflowPunct/>
              <w:topLinePunct w:val="0"/>
              <w:autoSpaceDE/>
              <w:autoSpaceDN/>
              <w:bidi w:val="0"/>
              <w:adjustRightInd/>
              <w:snapToGrid/>
              <w:spacing w:line="480" w:lineRule="exact"/>
              <w:jc w:val="both"/>
              <w:textAlignment w:val="auto"/>
              <w:outlineLvl w:val="9"/>
              <w:rPr>
                <w:rStyle w:val="24"/>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X＜10</w:t>
            </w:r>
          </w:p>
        </w:tc>
      </w:tr>
    </w:tbl>
    <w:p w14:paraId="4652B2F6">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说明：</w:t>
      </w:r>
    </w:p>
    <w:p w14:paraId="4FAF28A9">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（1）大型、中型和小型企业须同时满足所列指标的下限，否则下划一档；微型企业只需满足所列指标中的一项即可。</w:t>
      </w:r>
    </w:p>
    <w:p w14:paraId="29FD2B71">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F63623F">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（3）企业划分指标以现行统计制度为准。</w:t>
      </w:r>
    </w:p>
    <w:p w14:paraId="3EBCF108">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1）从业人员，是指期末从业人员数，没有期末从业人员数的，采用全年平均人员数代替。</w:t>
      </w:r>
    </w:p>
    <w:p w14:paraId="0327AF7B">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5A8238">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3）资产总额，采用资产总计代替。</w:t>
      </w:r>
    </w:p>
    <w:p w14:paraId="3A1E8DAD">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2关于监狱企业：</w:t>
      </w:r>
    </w:p>
    <w:p w14:paraId="1A703B26">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3B8E4B8A">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3关于残疾人福利性单位：</w:t>
      </w:r>
    </w:p>
    <w:p w14:paraId="055609AB">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3.1根据《三部门联合发布关于促进残疾人就业政府采购政策的通知》（财库〔2017〕141号）的规定，享受政府采购支持政策的残疾人福利性单位应当同时满足以下条件：</w:t>
      </w:r>
    </w:p>
    <w:p w14:paraId="7433CD04">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（一）安置的残疾人占本单位在职职工人数的比例不低于25%（含25%），并且安置的残疾人人数不少于10人（含10人）；</w:t>
      </w:r>
    </w:p>
    <w:p w14:paraId="0BE7197C">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（二）依法与安置的每位残疾人签订了一年以上（含一年）的劳动合同或服务协议；</w:t>
      </w:r>
    </w:p>
    <w:p w14:paraId="0DB52078">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（三）为安置的每位残疾人按月足额缴纳了基本养老保险、基本医疗保险、失业保险、工伤保险和生育保险等社会保险费；</w:t>
      </w:r>
    </w:p>
    <w:p w14:paraId="1F947EE0">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（四）通过银行等金融机构向安置的每位残疾人，按月支付了不低于单位所在区县适用的经省级人民政府批准的月最低工资标准的工资；</w:t>
      </w:r>
    </w:p>
    <w:p w14:paraId="1FCF0D9B">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（五）提供本单位制造的货物、承担的工程或者服务（以下简称产品），或者提供其他残疾人福利性单位制造的货物（不包括使用非残疾人福利性单位注册商标的货物）。</w:t>
      </w:r>
    </w:p>
    <w:p w14:paraId="5343C82E">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EA1C974">
      <w:pPr>
        <w:pStyle w:val="56"/>
        <w:keepNext w:val="0"/>
        <w:keepLines w:val="0"/>
        <w:pageBreakBefore w:val="0"/>
        <w:widowControl w:val="0"/>
        <w:kinsoku/>
        <w:wordWrap/>
        <w:overflowPunct/>
        <w:topLinePunct w:val="0"/>
        <w:autoSpaceDE/>
        <w:autoSpaceDN/>
        <w:bidi w:val="0"/>
        <w:adjustRightInd/>
        <w:snapToGrid/>
        <w:spacing w:line="480" w:lineRule="exact"/>
        <w:ind w:firstLine="482"/>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3.2符合条件的残疾人福利性单位在参加政府采购活动时，应当按《三部门联合发布关于促进残疾人就业政府采购政策的通知》（财库〔2017〕141号）提供规定的《残疾人福利性单位声明函》，并对声明的真实性负责。</w:t>
      </w:r>
    </w:p>
    <w:p w14:paraId="3AF1887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kern w:val="2"/>
          <w:sz w:val="24"/>
          <w:szCs w:val="24"/>
          <w:lang w:val="en-US" w:eastAsia="zh-CN" w:bidi="ar-SA"/>
        </w:rPr>
        <w:t>3.3本项目针对残疾人福利性单位产品的价格给予10%的扣除，用扣除后的价格参与评审。残疾人福利性单位属于小型、微型企业的，不重复享受政策。</w:t>
      </w:r>
    </w:p>
    <w:p w14:paraId="2E087908">
      <w:pPr>
        <w:pStyle w:val="36"/>
        <w:rPr>
          <w:rFonts w:hint="eastAsia"/>
          <w:color w:val="auto"/>
        </w:rPr>
      </w:pPr>
    </w:p>
    <w:p w14:paraId="77B8192B">
      <w:pPr>
        <w:pStyle w:val="2"/>
        <w:jc w:val="center"/>
        <w:rPr>
          <w:rFonts w:ascii="宋体" w:hAnsi="宋体" w:eastAsia="宋体" w:cs="宋体"/>
          <w:color w:val="auto"/>
        </w:rPr>
      </w:pPr>
      <w:r>
        <w:rPr>
          <w:rFonts w:hint="eastAsia" w:ascii="宋体" w:hAnsi="宋体" w:eastAsia="宋体" w:cs="宋体"/>
          <w:color w:val="auto"/>
          <w:sz w:val="36"/>
          <w:szCs w:val="36"/>
        </w:rPr>
        <w:t>第三章 评审办法（综合评分法）</w:t>
      </w:r>
      <w:bookmarkEnd w:id="52"/>
    </w:p>
    <w:p w14:paraId="33924252">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sz w:val="24"/>
          <w:szCs w:val="32"/>
          <w:highlight w:val="none"/>
        </w:rPr>
      </w:pPr>
      <w:bookmarkStart w:id="60" w:name="_Toc4700"/>
      <w:bookmarkStart w:id="61" w:name="_Toc19489"/>
      <w:bookmarkStart w:id="62" w:name="_Toc31244"/>
      <w:bookmarkStart w:id="63" w:name="_Toc23567"/>
      <w:bookmarkStart w:id="64" w:name="_Toc297884984"/>
      <w:bookmarkStart w:id="65" w:name="_Toc340046064"/>
      <w:bookmarkStart w:id="66" w:name="_Toc244571096"/>
      <w:r>
        <w:rPr>
          <w:rFonts w:hint="eastAsia" w:ascii="宋体" w:hAnsi="宋体" w:eastAsia="宋体" w:cs="宋体"/>
          <w:b/>
          <w:bCs/>
          <w:color w:val="auto"/>
          <w:sz w:val="24"/>
          <w:szCs w:val="32"/>
          <w:highlight w:val="none"/>
        </w:rPr>
        <w:t>1、总则</w:t>
      </w:r>
      <w:bookmarkEnd w:id="60"/>
      <w:bookmarkEnd w:id="61"/>
      <w:bookmarkEnd w:id="62"/>
      <w:bookmarkEnd w:id="63"/>
    </w:p>
    <w:p w14:paraId="3DE675DA">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1.1资格审查</w:t>
      </w:r>
    </w:p>
    <w:p w14:paraId="62995B0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按《政府采购货物和服务招标投标管理办法（财政部令第87号）》第四十四条“公开招标采购项目开标结束后，采购人或者采购代理机构应当依法对供应商的资格进行审查”，本项目开标结束后</w:t>
      </w:r>
      <w:r>
        <w:rPr>
          <w:rFonts w:hint="eastAsia" w:ascii="宋体" w:hAnsi="宋体" w:eastAsia="宋体" w:cs="宋体"/>
          <w:color w:val="auto"/>
          <w:sz w:val="24"/>
          <w:highlight w:val="none"/>
          <w:lang w:eastAsia="zh-CN"/>
        </w:rPr>
        <w:t>由采购代理机构依法对供应商的资格进行审查</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资格</w:t>
      </w:r>
      <w:r>
        <w:rPr>
          <w:rFonts w:hint="eastAsia" w:ascii="宋体" w:hAnsi="宋体" w:eastAsia="宋体" w:cs="宋体"/>
          <w:bCs/>
          <w:color w:val="auto"/>
          <w:sz w:val="24"/>
          <w:highlight w:val="none"/>
        </w:rPr>
        <w:t>审查</w:t>
      </w:r>
      <w:r>
        <w:rPr>
          <w:rFonts w:hint="eastAsia" w:ascii="宋体" w:hAnsi="宋体" w:eastAsia="宋体" w:cs="宋体"/>
          <w:color w:val="auto"/>
          <w:sz w:val="24"/>
          <w:highlight w:val="none"/>
        </w:rPr>
        <w:t>标准详见评标办法前附表。</w:t>
      </w:r>
    </w:p>
    <w:p w14:paraId="31A0651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1.2工作人员将通过</w:t>
      </w:r>
      <w:r>
        <w:rPr>
          <w:rFonts w:hint="eastAsia" w:ascii="宋体" w:hAnsi="宋体" w:eastAsia="宋体" w:cs="宋体"/>
          <w:color w:val="auto"/>
          <w:sz w:val="24"/>
          <w:highlight w:val="none"/>
          <w:lang w:eastAsia="zh-CN"/>
        </w:rPr>
        <w:t>资格</w:t>
      </w:r>
      <w:r>
        <w:rPr>
          <w:rFonts w:hint="eastAsia" w:ascii="宋体" w:hAnsi="宋体" w:eastAsia="宋体" w:cs="宋体"/>
          <w:color w:val="auto"/>
          <w:sz w:val="24"/>
          <w:highlight w:val="none"/>
        </w:rPr>
        <w:t>审查的投标文件送评标委员会评审。</w:t>
      </w:r>
    </w:p>
    <w:p w14:paraId="4D09A11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1.3评标办法及制定依据</w:t>
      </w:r>
    </w:p>
    <w:p w14:paraId="44FDB9E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为了规范本项目招投标活动，保证评标的公平、公正，维护招标投标活动各方当事人合法权益，依照《中华人民共和国政府采购法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中华人民共和国政府采购法实施条例》、财政部令87号《政府采购货物和服务招标投标管理办法》、财库</w:t>
      </w:r>
      <w:r>
        <w:rPr>
          <w:rFonts w:hint="eastAsia" w:ascii="宋体" w:hAnsi="宋体" w:eastAsia="宋体" w:cs="宋体"/>
          <w:color w:val="auto"/>
          <w:sz w:val="24"/>
          <w:highlight w:val="none"/>
          <w:lang w:eastAsia="zh-CN"/>
        </w:rPr>
        <w:t>〔2007〕2号</w:t>
      </w:r>
      <w:r>
        <w:rPr>
          <w:rFonts w:hint="eastAsia" w:ascii="宋体" w:hAnsi="宋体" w:eastAsia="宋体" w:cs="宋体"/>
          <w:color w:val="auto"/>
          <w:sz w:val="24"/>
          <w:highlight w:val="none"/>
        </w:rPr>
        <w:t>《关于加强政府采购货物和服务项目价格评审的通知》、财库</w:t>
      </w:r>
      <w:r>
        <w:rPr>
          <w:rFonts w:hint="eastAsia" w:ascii="宋体" w:hAnsi="宋体" w:eastAsia="宋体" w:cs="宋体"/>
          <w:color w:val="auto"/>
          <w:sz w:val="24"/>
          <w:highlight w:val="none"/>
          <w:lang w:eastAsia="zh-CN"/>
        </w:rPr>
        <w:t>〔2012〕69号</w:t>
      </w:r>
      <w:r>
        <w:rPr>
          <w:rFonts w:hint="eastAsia" w:ascii="宋体" w:hAnsi="宋体" w:eastAsia="宋体" w:cs="宋体"/>
          <w:color w:val="auto"/>
          <w:sz w:val="24"/>
          <w:highlight w:val="none"/>
        </w:rPr>
        <w:t>《关于进一步规范政府采购评审工作有关问题的通知》等规定，结合</w:t>
      </w:r>
      <w:r>
        <w:rPr>
          <w:rFonts w:hint="eastAsia" w:ascii="宋体" w:hAnsi="宋体" w:eastAsia="宋体" w:cs="宋体"/>
          <w:bCs/>
          <w:color w:val="auto"/>
          <w:sz w:val="24"/>
          <w:highlight w:val="none"/>
        </w:rPr>
        <w:t>本项目的</w:t>
      </w:r>
      <w:r>
        <w:rPr>
          <w:rFonts w:hint="eastAsia" w:ascii="宋体" w:hAnsi="宋体" w:eastAsia="宋体" w:cs="宋体"/>
          <w:color w:val="auto"/>
          <w:sz w:val="24"/>
          <w:highlight w:val="none"/>
        </w:rPr>
        <w:t>特点和实际情况，制定本办法。</w:t>
      </w:r>
    </w:p>
    <w:p w14:paraId="2FB5615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本次评标采用</w:t>
      </w:r>
      <w:bookmarkStart w:id="67" w:name="_Hlk494384859"/>
      <w:r>
        <w:rPr>
          <w:rFonts w:hint="eastAsia" w:ascii="宋体" w:hAnsi="宋体" w:eastAsia="宋体" w:cs="宋体"/>
          <w:color w:val="auto"/>
          <w:kern w:val="0"/>
          <w:sz w:val="24"/>
          <w:highlight w:val="none"/>
        </w:rPr>
        <w:t>综合评分法</w:t>
      </w:r>
      <w:bookmarkEnd w:id="67"/>
      <w:r>
        <w:rPr>
          <w:rFonts w:hint="eastAsia" w:ascii="宋体" w:hAnsi="宋体" w:eastAsia="宋体" w:cs="宋体"/>
          <w:color w:val="auto"/>
          <w:sz w:val="24"/>
          <w:highlight w:val="none"/>
        </w:rPr>
        <w:t>。</w:t>
      </w:r>
      <w:bookmarkStart w:id="68" w:name="_Hlk494384552"/>
      <w:r>
        <w:rPr>
          <w:rFonts w:hint="eastAsia" w:ascii="宋体" w:hAnsi="宋体" w:eastAsia="宋体" w:cs="宋体"/>
          <w:color w:val="auto"/>
          <w:kern w:val="0"/>
          <w:sz w:val="24"/>
          <w:highlight w:val="none"/>
        </w:rPr>
        <w:t>综合评分法</w:t>
      </w:r>
      <w:bookmarkEnd w:id="68"/>
      <w:r>
        <w:rPr>
          <w:rFonts w:hint="eastAsia" w:ascii="宋体" w:hAnsi="宋体" w:eastAsia="宋体" w:cs="宋体"/>
          <w:color w:val="auto"/>
          <w:kern w:val="0"/>
          <w:sz w:val="24"/>
          <w:highlight w:val="none"/>
        </w:rPr>
        <w:t>，是指投标文件满足采购文件全部实质性要求，且按照评审因素的量化指标评审得分最高的供应商为中标候选人的评标方法。</w:t>
      </w:r>
    </w:p>
    <w:p w14:paraId="78C50695">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1.3.1评标原则</w:t>
      </w:r>
    </w:p>
    <w:p w14:paraId="62964D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评标委员会成员应当按照客观、公正、审慎的原则，根据采购文件规定的评审程序、评审方法和评审标准进行独立评审。</w:t>
      </w:r>
    </w:p>
    <w:p w14:paraId="6005BF0B">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1.3.2统计计算原则</w:t>
      </w:r>
    </w:p>
    <w:p w14:paraId="3FF070D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1.3.2.1</w:t>
      </w:r>
      <w:r>
        <w:rPr>
          <w:rFonts w:hint="eastAsia" w:ascii="宋体" w:hAnsi="宋体" w:eastAsia="宋体" w:cs="宋体"/>
          <w:color w:val="auto"/>
          <w:kern w:val="0"/>
          <w:sz w:val="24"/>
          <w:highlight w:val="none"/>
        </w:rPr>
        <w:t>评标过程中，不得去掉报价中的最高报价和最低报价。</w:t>
      </w:r>
    </w:p>
    <w:p w14:paraId="79DC2DF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因落实政府采购政策进行价格调整的，以调整后的价格计算评标基准价和评标价</w:t>
      </w:r>
      <w:r>
        <w:rPr>
          <w:rFonts w:hint="eastAsia" w:ascii="宋体" w:hAnsi="宋体" w:eastAsia="宋体" w:cs="宋体"/>
          <w:color w:val="auto"/>
          <w:sz w:val="24"/>
          <w:highlight w:val="none"/>
        </w:rPr>
        <w:t>。</w:t>
      </w:r>
    </w:p>
    <w:p w14:paraId="7340F2D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因价格修正进行的价格调整，供应商确认后，</w:t>
      </w:r>
      <w:r>
        <w:rPr>
          <w:rFonts w:hint="eastAsia" w:ascii="宋体" w:hAnsi="宋体" w:eastAsia="宋体" w:cs="宋体"/>
          <w:color w:val="auto"/>
          <w:kern w:val="0"/>
          <w:sz w:val="24"/>
          <w:highlight w:val="none"/>
        </w:rPr>
        <w:t>以调整后的价格计算评标基准价和投标报价。因投标报价单位不一致，按照采购文件规定的价格单位统一修正，可按照价格修正的原则和方法进行。</w:t>
      </w:r>
    </w:p>
    <w:p w14:paraId="652DFE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除了算术修正和落实政府采购政策需进行的价格扣除外，不能对供应商的投标价格进行任何调整。</w:t>
      </w:r>
    </w:p>
    <w:p w14:paraId="4A6163D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1.3.2.2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5621071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1.3.2.3评审打分统计计算结果，保留小数点后两位，第三位四舍五入。</w:t>
      </w:r>
    </w:p>
    <w:p w14:paraId="2D243B28">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1.4特殊情况的处理</w:t>
      </w:r>
    </w:p>
    <w:p w14:paraId="265C9B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1.4.1评标中因评标委员会成员缺席、回避或者健康等特殊原因导致评标委员会组成不符合本办法规定的，采购人或者采购代理机构应当依法补足后继续评标。被更换的评标委员会成员所作出的评标意见无效。</w:t>
      </w:r>
    </w:p>
    <w:p w14:paraId="795614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无法及时补足评标委员会成员的，采购人或者采购代理机构应当停止评标活动，封存所有投标文件和开标、评标资料，依法重新组建评标委员会进行评标。原评标委员会所作出的评标意见无效。</w:t>
      </w:r>
    </w:p>
    <w:p w14:paraId="21540CC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1.4.2</w:t>
      </w:r>
      <w:r>
        <w:rPr>
          <w:rFonts w:hint="eastAsia" w:ascii="宋体" w:hAnsi="宋体" w:eastAsia="宋体" w:cs="宋体"/>
          <w:color w:val="auto"/>
          <w:kern w:val="0"/>
          <w:sz w:val="24"/>
          <w:highlight w:val="none"/>
        </w:rPr>
        <w:t>评标委员会发现采购文件存在歧义、重大缺陷导致评标工作无法进行，或者采购文件内容违反国家有关强制性规定的，应当停止评标工作，与采购人或者采购代理机构沟通并作书面记录。采购人或者采购代理机构确认后，应当修改采购文件，重新组织采购活动。</w:t>
      </w:r>
    </w:p>
    <w:p w14:paraId="076734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1.4.3评标委员会发现投标文件</w:t>
      </w:r>
      <w:r>
        <w:rPr>
          <w:rFonts w:hint="eastAsia" w:ascii="宋体" w:hAnsi="宋体" w:eastAsia="宋体" w:cs="宋体"/>
          <w:color w:val="auto"/>
          <w:kern w:val="0"/>
          <w:sz w:val="24"/>
          <w:highlight w:val="none"/>
        </w:rPr>
        <w:t>有下列情形之一的，可认定为</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串通投标，其投标无效：</w:t>
      </w:r>
    </w:p>
    <w:p w14:paraId="71879D4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（一）不同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的投标文件由同一单位或者个人编制；</w:t>
      </w:r>
    </w:p>
    <w:p w14:paraId="35D96BD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（二）不同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委托同一单位或者个人办理投标事宜；</w:t>
      </w:r>
    </w:p>
    <w:p w14:paraId="10FC213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（三）不同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的投标文件载明的项目管理成员或者联系人员为同一人；</w:t>
      </w:r>
    </w:p>
    <w:p w14:paraId="57B7A2C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（四）不同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的投标文件异常一致或者投标报价呈规律性差异；</w:t>
      </w:r>
    </w:p>
    <w:p w14:paraId="6064FDD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（五）不同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的投标文件相互混装。</w:t>
      </w:r>
    </w:p>
    <w:p w14:paraId="054AD70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bookmarkStart w:id="69" w:name="_Toc24235"/>
      <w:bookmarkStart w:id="70" w:name="_Toc23995"/>
      <w:r>
        <w:rPr>
          <w:rFonts w:hint="eastAsia" w:ascii="宋体" w:hAnsi="宋体" w:eastAsia="宋体" w:cs="宋体"/>
          <w:color w:val="auto"/>
          <w:kern w:val="0"/>
          <w:sz w:val="24"/>
          <w:highlight w:val="none"/>
        </w:rPr>
        <w:t>1.4.4投标截止后</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不足3家或者通过响应性审查或符合性审查的</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不足3家的，评标委员会应对采购文件是否存在不合理条款或者招标程序是否符合规定的情况进行审查，并提出书面意见。</w:t>
      </w:r>
      <w:bookmarkEnd w:id="69"/>
      <w:bookmarkEnd w:id="70"/>
    </w:p>
    <w:p w14:paraId="7869F781">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sz w:val="24"/>
          <w:szCs w:val="32"/>
          <w:highlight w:val="none"/>
        </w:rPr>
      </w:pPr>
      <w:bookmarkStart w:id="71" w:name="_Toc30254"/>
      <w:bookmarkStart w:id="72" w:name="_Toc24417"/>
      <w:bookmarkStart w:id="73" w:name="_Toc11146"/>
      <w:bookmarkStart w:id="74" w:name="_Toc758"/>
      <w:r>
        <w:rPr>
          <w:rFonts w:hint="eastAsia" w:ascii="宋体" w:hAnsi="宋体" w:eastAsia="宋体" w:cs="宋体"/>
          <w:b/>
          <w:bCs/>
          <w:color w:val="auto"/>
          <w:sz w:val="24"/>
          <w:szCs w:val="32"/>
          <w:highlight w:val="none"/>
        </w:rPr>
        <w:t>2、评标程序</w:t>
      </w:r>
      <w:bookmarkEnd w:id="71"/>
      <w:bookmarkEnd w:id="72"/>
      <w:bookmarkEnd w:id="73"/>
      <w:bookmarkEnd w:id="74"/>
    </w:p>
    <w:p w14:paraId="0AD311A0">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2.1组建评标委员会</w:t>
      </w:r>
    </w:p>
    <w:p w14:paraId="4F49F27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2.1.1</w:t>
      </w:r>
      <w:r>
        <w:rPr>
          <w:rFonts w:hint="eastAsia" w:ascii="宋体" w:hAnsi="宋体" w:eastAsia="宋体" w:cs="宋体"/>
          <w:color w:val="auto"/>
          <w:kern w:val="0"/>
          <w:sz w:val="24"/>
          <w:highlight w:val="none"/>
        </w:rPr>
        <w:t>评标委员会由采购人代表和评审专家组成，成员人数为5人以上单数，其中评审专家不得少于成员总数的三分之二。</w:t>
      </w:r>
    </w:p>
    <w:p w14:paraId="21EE515E">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2.2熟悉采购文件和评标办法与标准</w:t>
      </w:r>
    </w:p>
    <w:p w14:paraId="7B21A3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2.2.1评标委员会组长组织评标委员会全体成员熟悉采购文件和评标办法与标准，评</w:t>
      </w:r>
      <w:r>
        <w:rPr>
          <w:rFonts w:hint="eastAsia" w:ascii="宋体" w:hAnsi="宋体" w:eastAsia="宋体" w:cs="宋体"/>
          <w:color w:val="auto"/>
          <w:kern w:val="0"/>
          <w:sz w:val="24"/>
          <w:highlight w:val="none"/>
        </w:rPr>
        <w:t>标委员会发现采购文件存在歧义、重大缺陷导致评标工作无法进行，或者采购文件内容违反国家有关强制性规定的，应当停止评标工作，与采购人或者采购代理机构沟通并作书面记录。</w:t>
      </w:r>
    </w:p>
    <w:p w14:paraId="210C3E8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2.2.2评标委员会确定采购文件及评标办法与标准合法有效的，确定评审因素中的主观因素和客观因素，统一评审因素的认定标准。</w:t>
      </w:r>
    </w:p>
    <w:p w14:paraId="1C5B3E59">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2.3评标准备</w:t>
      </w:r>
    </w:p>
    <w:p w14:paraId="453E5A5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2.3.1评标委员会审查所有开标合格的投标文件，列出投标文件中的所有偏差，列出涉及价格折算、优先采购政策的投标文件，列出投标报价明显低于其他投标报价，需要进行成本判断的投标文件；</w:t>
      </w:r>
    </w:p>
    <w:p w14:paraId="45AE7B0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价格折算、优先采购政策、成本判断的原则和方法详见评标办法前附表。</w:t>
      </w:r>
    </w:p>
    <w:p w14:paraId="6DAB91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2.3.2评标委员会对列出的投标文件偏差，需要询标（含价格修正）的，统一列出书面询标函；</w:t>
      </w:r>
    </w:p>
    <w:p w14:paraId="69587F9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价格修正的原则详见评标办法前附表。</w:t>
      </w:r>
    </w:p>
    <w:p w14:paraId="65E94E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2.3.3</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应按照询标函的要求，在规定时间内提交书面澄清、补正文件；</w:t>
      </w:r>
    </w:p>
    <w:p w14:paraId="70C843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的澄清、说明或者补正应当采用书面形式，并加盖公章，或者由法定代表人或其授权的代表签字。</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的澄清、说明或者补正不得超出投标文件的范围或者改变投标文件的实质性内容。</w:t>
      </w:r>
    </w:p>
    <w:p w14:paraId="7544DA3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2.3.4评标委员会对</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提交的书面澄清、补正文件进行认定。</w:t>
      </w:r>
    </w:p>
    <w:p w14:paraId="18B8C3E1">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2.4符合性审查</w:t>
      </w:r>
    </w:p>
    <w:p w14:paraId="4841E31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2.4.1评标委员会全体成员独立对通过资格性审查的投标文件进行符合性审查；</w:t>
      </w:r>
    </w:p>
    <w:p w14:paraId="0693AC4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2.4.2评标委员会对符合性审查结果汇总、确认，有不同意见书面阐述理由；</w:t>
      </w:r>
    </w:p>
    <w:p w14:paraId="2D5D5024">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2.4.3符合性审查标准详见评标办法前附表。</w:t>
      </w:r>
    </w:p>
    <w:p w14:paraId="4F967F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2.4.4投标文件有符合性审查标准中任何一项未通过审查的，不能通过符合性审查，该投标文件不得进入详细评审程序。</w:t>
      </w:r>
    </w:p>
    <w:p w14:paraId="78E2688F">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bookmarkStart w:id="75" w:name="_Hlk494382129"/>
      <w:r>
        <w:rPr>
          <w:rFonts w:hint="eastAsia" w:ascii="宋体" w:hAnsi="宋体" w:eastAsia="宋体" w:cs="宋体"/>
          <w:b/>
          <w:bCs/>
          <w:color w:val="auto"/>
          <w:sz w:val="24"/>
          <w:highlight w:val="none"/>
        </w:rPr>
        <w:t>5详细评审</w:t>
      </w:r>
      <w:bookmarkEnd w:id="75"/>
    </w:p>
    <w:p w14:paraId="1A644B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2.5.1评标委员会全体成员对通过符合性审查的投标文件进行</w:t>
      </w:r>
      <w:r>
        <w:rPr>
          <w:rFonts w:hint="eastAsia" w:ascii="宋体" w:hAnsi="宋体" w:eastAsia="宋体" w:cs="宋体"/>
          <w:bCs/>
          <w:color w:val="auto"/>
          <w:sz w:val="24"/>
          <w:highlight w:val="none"/>
        </w:rPr>
        <w:t>详细评审、打分</w:t>
      </w:r>
      <w:r>
        <w:rPr>
          <w:rFonts w:hint="eastAsia" w:ascii="宋体" w:hAnsi="宋体" w:eastAsia="宋体" w:cs="宋体"/>
          <w:color w:val="auto"/>
          <w:sz w:val="24"/>
          <w:highlight w:val="none"/>
        </w:rPr>
        <w:t>；</w:t>
      </w:r>
    </w:p>
    <w:p w14:paraId="230453D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2.5.2评标委员会对</w:t>
      </w:r>
      <w:r>
        <w:rPr>
          <w:rFonts w:hint="eastAsia" w:ascii="宋体" w:hAnsi="宋体" w:eastAsia="宋体" w:cs="宋体"/>
          <w:bCs/>
          <w:color w:val="auto"/>
          <w:sz w:val="24"/>
          <w:highlight w:val="none"/>
        </w:rPr>
        <w:t>详细评审</w:t>
      </w:r>
      <w:r>
        <w:rPr>
          <w:rFonts w:hint="eastAsia" w:ascii="宋体" w:hAnsi="宋体" w:eastAsia="宋体" w:cs="宋体"/>
          <w:color w:val="auto"/>
          <w:sz w:val="24"/>
          <w:highlight w:val="none"/>
        </w:rPr>
        <w:t>结果汇总、确认，有不同意见书面阐述理由；</w:t>
      </w:r>
    </w:p>
    <w:p w14:paraId="44D7267D">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2.5.3</w:t>
      </w:r>
      <w:r>
        <w:rPr>
          <w:rFonts w:hint="eastAsia" w:ascii="宋体" w:hAnsi="宋体" w:eastAsia="宋体" w:cs="宋体"/>
          <w:bCs/>
          <w:color w:val="auto"/>
          <w:sz w:val="24"/>
          <w:highlight w:val="none"/>
        </w:rPr>
        <w:t>详细评审</w:t>
      </w:r>
      <w:r>
        <w:rPr>
          <w:rFonts w:hint="eastAsia" w:ascii="宋体" w:hAnsi="宋体" w:eastAsia="宋体" w:cs="宋体"/>
          <w:color w:val="auto"/>
          <w:sz w:val="24"/>
          <w:highlight w:val="none"/>
        </w:rPr>
        <w:t>标准详见评标办法前附表。</w:t>
      </w:r>
    </w:p>
    <w:p w14:paraId="016ECC0C">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3"/>
        <w:rPr>
          <w:rFonts w:hint="eastAsia" w:ascii="宋体" w:hAnsi="宋体" w:eastAsia="宋体" w:cs="宋体"/>
          <w:color w:val="auto"/>
          <w:sz w:val="24"/>
          <w:highlight w:val="none"/>
        </w:rPr>
      </w:pPr>
      <w:r>
        <w:rPr>
          <w:rFonts w:hint="eastAsia" w:ascii="宋体" w:hAnsi="宋体" w:eastAsia="宋体" w:cs="宋体"/>
          <w:color w:val="auto"/>
          <w:sz w:val="24"/>
          <w:highlight w:val="none"/>
        </w:rPr>
        <w:t>2.5评标价评审、比较</w:t>
      </w:r>
    </w:p>
    <w:p w14:paraId="04042C0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2.5.1评标委员会全体成员对投标文件的评标价进行评审、比较，评标价评审打分采用低价优先法。评标价评审打分的方法和标准详见评标办法前附表。</w:t>
      </w:r>
    </w:p>
    <w:p w14:paraId="2B2C00D4">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2.5.2经过价格修正和价格折算的价格为评标价。</w:t>
      </w:r>
    </w:p>
    <w:p w14:paraId="76A064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2.5.3中标价格为投标报价或经过修正的投标报价，经过修正的投标报价须由</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确认。评标价只用于评标。</w:t>
      </w:r>
    </w:p>
    <w:p w14:paraId="24D98FA3">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2.6评标结果</w:t>
      </w:r>
    </w:p>
    <w:p w14:paraId="162EB83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2.6.1</w:t>
      </w:r>
      <w:r>
        <w:rPr>
          <w:rFonts w:hint="eastAsia" w:ascii="宋体" w:hAnsi="宋体" w:eastAsia="宋体" w:cs="宋体"/>
          <w:color w:val="auto"/>
          <w:kern w:val="0"/>
          <w:sz w:val="24"/>
          <w:highlight w:val="none"/>
        </w:rPr>
        <w:t>评标结果汇总完成后，除下列情形外，任何人不得修改评标结果：</w:t>
      </w:r>
    </w:p>
    <w:p w14:paraId="04BAD87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（一）分值汇总计算错误的；</w:t>
      </w:r>
    </w:p>
    <w:p w14:paraId="439E4F4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（二）分项评分超出评分标准范围的；</w:t>
      </w:r>
    </w:p>
    <w:p w14:paraId="4CBA14E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（三）评标委员会成员对客观评审因素评分不一致的；</w:t>
      </w:r>
    </w:p>
    <w:p w14:paraId="3A091BE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（四）经评标委员会认定评分畸高、畸低的。</w:t>
      </w:r>
    </w:p>
    <w:p w14:paraId="1D466F5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评标报告签署前，经复核发现存在以上情形之一的，评标委员会应当当场修改评标结果，并在评标报告中记载。</w:t>
      </w:r>
    </w:p>
    <w:p w14:paraId="5DB29EC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2.6.2</w:t>
      </w:r>
      <w:r>
        <w:rPr>
          <w:rFonts w:hint="eastAsia" w:ascii="宋体" w:hAnsi="宋体" w:eastAsia="宋体" w:cs="宋体"/>
          <w:color w:val="auto"/>
          <w:kern w:val="0"/>
          <w:sz w:val="24"/>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C306D1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2.6.3</w:t>
      </w:r>
      <w:r>
        <w:rPr>
          <w:rFonts w:hint="eastAsia" w:ascii="宋体" w:hAnsi="宋体" w:eastAsia="宋体" w:cs="宋体"/>
          <w:color w:val="auto"/>
          <w:kern w:val="0"/>
          <w:sz w:val="24"/>
          <w:highlight w:val="none"/>
        </w:rPr>
        <w:t>评标委员会根据全体评标成员签字的原始评标记录和评标结果编写评标报告。评标报告应当包括以下内容：</w:t>
      </w:r>
    </w:p>
    <w:p w14:paraId="048A9B7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（一）招标公告刊登的媒体名称、开标日期和地点；</w:t>
      </w:r>
    </w:p>
    <w:p w14:paraId="60C5569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名单和评标委员会成员名单；</w:t>
      </w:r>
    </w:p>
    <w:p w14:paraId="5F40400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（三）评标方法和标准；</w:t>
      </w:r>
    </w:p>
    <w:p w14:paraId="3F063F8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（四）开标记录和评标情况及说明，包括无效</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名单及原因；</w:t>
      </w:r>
    </w:p>
    <w:p w14:paraId="2E3CC02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（五）评标结果，确定的中标候选人名单或者经采购人委托直接确定的中标人；</w:t>
      </w:r>
    </w:p>
    <w:p w14:paraId="40FF10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（六）其他需要说明的情况，包括评标过程中</w:t>
      </w:r>
      <w:r>
        <w:rPr>
          <w:rFonts w:hint="eastAsia" w:ascii="宋体" w:hAnsi="宋体" w:eastAsia="宋体" w:cs="宋体"/>
          <w:color w:val="auto"/>
          <w:kern w:val="0"/>
          <w:sz w:val="24"/>
          <w:highlight w:val="none"/>
          <w:lang w:eastAsia="zh-CN"/>
        </w:rPr>
        <w:t>投标人</w:t>
      </w:r>
      <w:r>
        <w:rPr>
          <w:rFonts w:hint="eastAsia" w:ascii="宋体" w:hAnsi="宋体" w:eastAsia="宋体" w:cs="宋体"/>
          <w:color w:val="auto"/>
          <w:kern w:val="0"/>
          <w:sz w:val="24"/>
          <w:highlight w:val="none"/>
        </w:rPr>
        <w:t>根据评标委员会要求进行的澄清、说明或者补正，评标委员会成员的更换等。</w:t>
      </w:r>
    </w:p>
    <w:p w14:paraId="1055EC1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2.6.4评标委员会出具评标报告，并向招标人按照评标价排序推荐的顺序中标候选人3名</w:t>
      </w:r>
      <w:r>
        <w:rPr>
          <w:rFonts w:hint="eastAsia" w:ascii="宋体" w:hAnsi="宋体" w:eastAsia="宋体" w:cs="宋体"/>
          <w:color w:val="auto"/>
          <w:kern w:val="0"/>
          <w:sz w:val="24"/>
          <w:highlight w:val="none"/>
        </w:rPr>
        <w:t>。</w:t>
      </w:r>
    </w:p>
    <w:p w14:paraId="5A31E5B7">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auto"/>
          <w:sz w:val="24"/>
          <w:szCs w:val="32"/>
          <w:highlight w:val="none"/>
        </w:rPr>
      </w:pPr>
      <w:bookmarkStart w:id="76" w:name="_Toc10973"/>
      <w:bookmarkStart w:id="77" w:name="_Toc14333"/>
      <w:r>
        <w:rPr>
          <w:rFonts w:hint="eastAsia" w:ascii="宋体" w:hAnsi="宋体" w:eastAsia="宋体" w:cs="宋体"/>
          <w:b/>
          <w:bCs/>
          <w:color w:val="auto"/>
          <w:sz w:val="24"/>
          <w:szCs w:val="32"/>
          <w:highlight w:val="none"/>
        </w:rPr>
        <w:t>3、评标标准</w:t>
      </w:r>
      <w:bookmarkEnd w:id="76"/>
      <w:bookmarkEnd w:id="77"/>
    </w:p>
    <w:p w14:paraId="55BA694C">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3.1 符合性审查标准 </w:t>
      </w:r>
    </w:p>
    <w:p w14:paraId="253A509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3.1.1评标委员会依据评标办法前附表规定的</w:t>
      </w:r>
      <w:r>
        <w:rPr>
          <w:rFonts w:hint="eastAsia" w:ascii="宋体" w:hAnsi="宋体" w:eastAsia="宋体" w:cs="宋体"/>
          <w:bCs/>
          <w:color w:val="auto"/>
          <w:sz w:val="24"/>
          <w:highlight w:val="none"/>
        </w:rPr>
        <w:t>符合性审查</w:t>
      </w:r>
      <w:r>
        <w:rPr>
          <w:rFonts w:hint="eastAsia" w:ascii="宋体" w:hAnsi="宋体" w:eastAsia="宋体" w:cs="宋体"/>
          <w:color w:val="auto"/>
          <w:sz w:val="24"/>
          <w:highlight w:val="none"/>
        </w:rPr>
        <w:t>标准对投标文件进行</w:t>
      </w:r>
      <w:r>
        <w:rPr>
          <w:rFonts w:hint="eastAsia" w:ascii="宋体" w:hAnsi="宋体" w:eastAsia="宋体" w:cs="宋体"/>
          <w:bCs/>
          <w:color w:val="auto"/>
          <w:sz w:val="24"/>
          <w:highlight w:val="none"/>
        </w:rPr>
        <w:t>符合</w:t>
      </w:r>
      <w:r>
        <w:rPr>
          <w:rFonts w:hint="eastAsia" w:ascii="宋体" w:hAnsi="宋体" w:eastAsia="宋体" w:cs="宋体"/>
          <w:color w:val="auto"/>
          <w:sz w:val="24"/>
          <w:highlight w:val="none"/>
        </w:rPr>
        <w:t>性审查。有一项不符合审查标准的，应当否决其投标。</w:t>
      </w:r>
    </w:p>
    <w:p w14:paraId="10126EF6">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3.1.2</w:t>
      </w:r>
      <w:r>
        <w:rPr>
          <w:rFonts w:hint="eastAsia" w:ascii="宋体" w:hAnsi="宋体" w:eastAsia="宋体" w:cs="宋体"/>
          <w:bCs/>
          <w:color w:val="auto"/>
          <w:sz w:val="24"/>
          <w:highlight w:val="none"/>
        </w:rPr>
        <w:t>符合性审查</w:t>
      </w:r>
      <w:r>
        <w:rPr>
          <w:rFonts w:hint="eastAsia" w:ascii="宋体" w:hAnsi="宋体" w:eastAsia="宋体" w:cs="宋体"/>
          <w:color w:val="auto"/>
          <w:sz w:val="24"/>
          <w:highlight w:val="none"/>
        </w:rPr>
        <w:t>标准详见评标办法前附表。</w:t>
      </w:r>
    </w:p>
    <w:p w14:paraId="27307DC9">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 详细评审标准</w:t>
      </w:r>
    </w:p>
    <w:p w14:paraId="1EA83E8D">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4"/>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3.2.1</w:t>
      </w:r>
      <w:r>
        <w:rPr>
          <w:rFonts w:hint="eastAsia" w:ascii="宋体" w:hAnsi="宋体" w:eastAsia="宋体" w:cs="宋体"/>
          <w:b/>
          <w:color w:val="auto"/>
          <w:sz w:val="24"/>
          <w:highlight w:val="none"/>
          <w:lang w:eastAsia="zh-CN"/>
        </w:rPr>
        <w:t>技术商务部分</w:t>
      </w:r>
      <w:r>
        <w:rPr>
          <w:rFonts w:hint="eastAsia" w:ascii="宋体" w:hAnsi="宋体" w:eastAsia="宋体" w:cs="宋体"/>
          <w:b/>
          <w:color w:val="auto"/>
          <w:sz w:val="24"/>
          <w:highlight w:val="none"/>
        </w:rPr>
        <w:t>评审评分</w:t>
      </w:r>
    </w:p>
    <w:p w14:paraId="5F14959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3.2.1.1评标委员会按照评标办法前附表规定的</w:t>
      </w:r>
      <w:bookmarkStart w:id="78" w:name="_Hlk497753220"/>
      <w:r>
        <w:rPr>
          <w:rFonts w:hint="eastAsia" w:ascii="宋体" w:hAnsi="宋体" w:eastAsia="宋体" w:cs="宋体"/>
          <w:color w:val="auto"/>
          <w:sz w:val="24"/>
          <w:highlight w:val="none"/>
          <w:lang w:eastAsia="zh-CN"/>
        </w:rPr>
        <w:t>技术商务部分</w:t>
      </w:r>
      <w:r>
        <w:rPr>
          <w:rFonts w:hint="eastAsia" w:ascii="宋体" w:hAnsi="宋体" w:eastAsia="宋体" w:cs="宋体"/>
          <w:color w:val="auto"/>
          <w:sz w:val="24"/>
          <w:highlight w:val="none"/>
        </w:rPr>
        <w:t>评审</w:t>
      </w:r>
      <w:bookmarkEnd w:id="78"/>
      <w:r>
        <w:rPr>
          <w:rFonts w:hint="eastAsia" w:ascii="宋体" w:hAnsi="宋体" w:eastAsia="宋体" w:cs="宋体"/>
          <w:color w:val="auto"/>
          <w:sz w:val="24"/>
          <w:highlight w:val="none"/>
        </w:rPr>
        <w:t>标准对投标文件中各评审因素和内容进行详细评审评分。</w:t>
      </w:r>
    </w:p>
    <w:p w14:paraId="31ADB7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3.2.1.2</w:t>
      </w:r>
      <w:r>
        <w:rPr>
          <w:rFonts w:hint="eastAsia" w:ascii="宋体" w:hAnsi="宋体" w:eastAsia="宋体" w:cs="宋体"/>
          <w:color w:val="auto"/>
          <w:sz w:val="24"/>
          <w:highlight w:val="none"/>
          <w:lang w:eastAsia="zh-CN"/>
        </w:rPr>
        <w:t>技术商务部分</w:t>
      </w:r>
      <w:r>
        <w:rPr>
          <w:rFonts w:hint="eastAsia" w:ascii="宋体" w:hAnsi="宋体" w:eastAsia="宋体" w:cs="宋体"/>
          <w:color w:val="auto"/>
          <w:sz w:val="24"/>
          <w:highlight w:val="none"/>
        </w:rPr>
        <w:t>评审标准详见评标办法前附表。</w:t>
      </w:r>
    </w:p>
    <w:p w14:paraId="503064A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3.2.1.3</w:t>
      </w:r>
      <w:r>
        <w:rPr>
          <w:rFonts w:hint="eastAsia" w:ascii="宋体" w:hAnsi="宋体" w:eastAsia="宋体" w:cs="宋体"/>
          <w:color w:val="auto"/>
          <w:sz w:val="24"/>
          <w:highlight w:val="none"/>
          <w:lang w:eastAsia="zh-CN"/>
        </w:rPr>
        <w:t>技术商务部分</w:t>
      </w:r>
      <w:r>
        <w:rPr>
          <w:rFonts w:hint="eastAsia" w:ascii="宋体" w:hAnsi="宋体" w:eastAsia="宋体" w:cs="宋体"/>
          <w:color w:val="auto"/>
          <w:sz w:val="24"/>
          <w:highlight w:val="none"/>
        </w:rPr>
        <w:t>评审因素应首先认定主观因素和客观因素，已经认定为客观因素的，评标委员会的打分标准应当一致。已经认定为主观因素的，评标委员会的打分应当审慎，出现畸高、畸低的，应当说明理由。</w:t>
      </w:r>
    </w:p>
    <w:p w14:paraId="51D551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3.2.1.4评标委员会认定投标文件的响应因素，应依据投标文件本身，按照证明材料、承诺、阐述的效力顺序和其完整性、真实性进行判断。</w:t>
      </w:r>
    </w:p>
    <w:p w14:paraId="481500E5">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4"/>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3.3.2 价格评审标准</w:t>
      </w:r>
    </w:p>
    <w:p w14:paraId="61F4F9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3.3.2.1</w:t>
      </w:r>
      <w:bookmarkStart w:id="79" w:name="_Hlk497752621"/>
      <w:r>
        <w:rPr>
          <w:rFonts w:hint="eastAsia" w:ascii="宋体" w:hAnsi="宋体" w:eastAsia="宋体" w:cs="宋体"/>
          <w:color w:val="auto"/>
          <w:sz w:val="24"/>
          <w:highlight w:val="none"/>
        </w:rPr>
        <w:t>评标委员会</w:t>
      </w:r>
      <w:bookmarkEnd w:id="79"/>
      <w:r>
        <w:rPr>
          <w:rFonts w:hint="eastAsia" w:ascii="宋体" w:hAnsi="宋体" w:eastAsia="宋体" w:cs="宋体"/>
          <w:color w:val="auto"/>
          <w:sz w:val="24"/>
          <w:highlight w:val="none"/>
        </w:rPr>
        <w:t>依据评标办法前附表规定的价格评审标准对投标文件中评标价进行审查、比较。</w:t>
      </w:r>
    </w:p>
    <w:p w14:paraId="5421CEB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3.3.2.2 价格评审</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详见评标办法前附表。</w:t>
      </w:r>
    </w:p>
    <w:p w14:paraId="7E09D9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3.3.2.3价格评审时，不得去掉最低报价和最高报价。</w:t>
      </w:r>
    </w:p>
    <w:p w14:paraId="52F3D116">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3.4评审分值统计汇总</w:t>
      </w:r>
    </w:p>
    <w:p w14:paraId="6117709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bCs/>
          <w:color w:val="auto"/>
          <w:sz w:val="24"/>
          <w:highlight w:val="none"/>
        </w:rPr>
        <w:t>3.4.1</w:t>
      </w:r>
      <w:r>
        <w:rPr>
          <w:rFonts w:hint="eastAsia" w:ascii="宋体" w:hAnsi="宋体" w:eastAsia="宋体" w:cs="宋体"/>
          <w:color w:val="auto"/>
          <w:sz w:val="24"/>
          <w:highlight w:val="none"/>
        </w:rPr>
        <w:t>评标委员会所有成员评审评分分值汇总后的算术平均值为</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得分；</w:t>
      </w:r>
    </w:p>
    <w:p w14:paraId="5F6E0833">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4"/>
        <w:rPr>
          <w:rFonts w:hint="eastAsia" w:ascii="宋体" w:hAnsi="宋体" w:eastAsia="宋体" w:cs="宋体"/>
          <w:color w:val="auto"/>
          <w:sz w:val="24"/>
          <w:highlight w:val="none"/>
        </w:rPr>
      </w:pPr>
      <w:r>
        <w:rPr>
          <w:rFonts w:hint="eastAsia" w:ascii="宋体" w:hAnsi="宋体" w:eastAsia="宋体" w:cs="宋体"/>
          <w:color w:val="auto"/>
          <w:sz w:val="24"/>
          <w:highlight w:val="none"/>
        </w:rPr>
        <w:t>3.4.2统计评审分值时，不得去掉最高、最低的打分；</w:t>
      </w:r>
    </w:p>
    <w:p w14:paraId="1493D0D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3.4.3</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的最后得分为</w:t>
      </w:r>
      <w:r>
        <w:rPr>
          <w:rFonts w:hint="eastAsia" w:ascii="宋体" w:hAnsi="宋体" w:eastAsia="宋体" w:cs="宋体"/>
          <w:color w:val="auto"/>
          <w:sz w:val="24"/>
          <w:highlight w:val="none"/>
          <w:lang w:eastAsia="zh-CN"/>
        </w:rPr>
        <w:t>技术商务部分</w:t>
      </w:r>
      <w:r>
        <w:rPr>
          <w:rFonts w:hint="eastAsia" w:ascii="宋体" w:hAnsi="宋体" w:eastAsia="宋体" w:cs="宋体"/>
          <w:color w:val="auto"/>
          <w:sz w:val="24"/>
          <w:highlight w:val="none"/>
        </w:rPr>
        <w:t>得分和价格评审得分之和。</w:t>
      </w:r>
    </w:p>
    <w:p w14:paraId="2134FE07">
      <w:pPr>
        <w:keepNext w:val="0"/>
        <w:keepLines w:val="0"/>
        <w:pageBreakBefore w:val="0"/>
        <w:kinsoku/>
        <w:wordWrap/>
        <w:overflowPunct/>
        <w:topLinePunct w:val="0"/>
        <w:autoSpaceDE/>
        <w:autoSpaceDN/>
        <w:bidi w:val="0"/>
        <w:adjustRightInd/>
        <w:snapToGrid/>
        <w:spacing w:line="360" w:lineRule="auto"/>
        <w:ind w:firstLine="482" w:firstLineChars="200"/>
        <w:textAlignment w:val="auto"/>
        <w:outlineLvl w:val="3"/>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3.5评标报告及推荐中标候选人</w:t>
      </w:r>
    </w:p>
    <w:p w14:paraId="3E68B6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3.5.1投标文件满足采购文件全部实质性要求，且评审因素的量化指标评审得分最高的为中标候选人。</w:t>
      </w:r>
    </w:p>
    <w:p w14:paraId="0F31FC8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rPr>
      </w:pPr>
      <w:r>
        <w:rPr>
          <w:rFonts w:hint="eastAsia" w:ascii="宋体" w:hAnsi="宋体" w:eastAsia="宋体" w:cs="宋体"/>
          <w:color w:val="auto"/>
          <w:sz w:val="24"/>
          <w:highlight w:val="none"/>
        </w:rPr>
        <w:t>3.5.2评标委员会评审完成后，</w:t>
      </w:r>
      <w:r>
        <w:rPr>
          <w:rFonts w:hint="eastAsia" w:ascii="宋体" w:hAnsi="宋体" w:eastAsia="宋体" w:cs="宋体"/>
          <w:color w:val="auto"/>
          <w:sz w:val="24"/>
          <w:szCs w:val="24"/>
          <w:highlight w:val="none"/>
        </w:rPr>
        <w:t>按各投标人得分由高到低顺序推荐中标候选人。</w:t>
      </w:r>
      <w:r>
        <w:rPr>
          <w:rFonts w:hint="eastAsia" w:ascii="宋体" w:hAnsi="宋体" w:eastAsia="宋体" w:cs="宋体"/>
          <w:color w:val="auto"/>
          <w:sz w:val="24"/>
          <w:highlight w:val="none"/>
        </w:rPr>
        <w:t>出具评标报告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综合评分相等时，以投标报价低的优先；投标报价也相等的，以</w:t>
      </w:r>
      <w:r>
        <w:rPr>
          <w:rFonts w:hint="eastAsia" w:ascii="宋体" w:hAnsi="宋体" w:eastAsia="宋体" w:cs="宋体"/>
          <w:color w:val="auto"/>
          <w:sz w:val="24"/>
          <w:szCs w:val="24"/>
          <w:highlight w:val="none"/>
          <w:lang w:eastAsia="zh-CN"/>
        </w:rPr>
        <w:t>供货</w:t>
      </w:r>
      <w:r>
        <w:rPr>
          <w:rFonts w:hint="eastAsia" w:ascii="宋体" w:hAnsi="宋体" w:eastAsia="宋体" w:cs="宋体"/>
          <w:color w:val="auto"/>
          <w:sz w:val="24"/>
          <w:szCs w:val="24"/>
          <w:highlight w:val="none"/>
        </w:rPr>
        <w:t>方案得分高的优先。</w:t>
      </w:r>
    </w:p>
    <w:p w14:paraId="470FD1AF">
      <w:pPr>
        <w:adjustRightInd w:val="0"/>
        <w:spacing w:line="480" w:lineRule="exact"/>
        <w:ind w:firstLine="482" w:firstLineChars="200"/>
        <w:contextualSpacing/>
        <w:rPr>
          <w:rFonts w:ascii="宋体" w:hAnsi="宋体" w:cs="宋体"/>
          <w:b/>
          <w:color w:val="auto"/>
          <w:sz w:val="24"/>
        </w:rPr>
      </w:pPr>
      <w:r>
        <w:rPr>
          <w:rFonts w:hint="eastAsia" w:ascii="宋体" w:hAnsi="宋体" w:cs="宋体"/>
          <w:b/>
          <w:color w:val="auto"/>
          <w:sz w:val="24"/>
        </w:rPr>
        <w:t>一、投标文件的初审分为资格性审查和符合性审查：</w:t>
      </w:r>
    </w:p>
    <w:p w14:paraId="6A80D855">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outlineLvl w:val="2"/>
        <w:rPr>
          <w:rFonts w:hint="eastAsia" w:ascii="宋体" w:hAnsi="宋体" w:eastAsia="宋体" w:cs="宋体"/>
          <w:b/>
          <w:color w:val="auto"/>
          <w:kern w:val="0"/>
          <w:sz w:val="24"/>
          <w:szCs w:val="24"/>
          <w:highlight w:val="none"/>
        </w:rPr>
      </w:pPr>
      <w:bookmarkStart w:id="80" w:name="_Toc21367"/>
      <w:r>
        <w:rPr>
          <w:rFonts w:hint="eastAsia" w:ascii="宋体" w:hAnsi="宋体" w:eastAsia="宋体" w:cs="宋体"/>
          <w:b/>
          <w:color w:val="auto"/>
          <w:sz w:val="24"/>
          <w:szCs w:val="24"/>
          <w:highlight w:val="none"/>
        </w:rPr>
        <w:t>1.</w:t>
      </w:r>
      <w:r>
        <w:rPr>
          <w:rFonts w:hint="eastAsia" w:ascii="宋体" w:hAnsi="宋体" w:eastAsia="宋体" w:cs="宋体"/>
          <w:b/>
          <w:color w:val="auto"/>
          <w:kern w:val="0"/>
          <w:sz w:val="24"/>
          <w:szCs w:val="24"/>
          <w:highlight w:val="none"/>
        </w:rPr>
        <w:t>资格审查</w:t>
      </w:r>
      <w:bookmarkEnd w:id="80"/>
    </w:p>
    <w:p w14:paraId="769CD9D9">
      <w:pPr>
        <w:keepNext w:val="0"/>
        <w:keepLines w:val="0"/>
        <w:pageBreakBefore w:val="0"/>
        <w:widowControl w:val="0"/>
        <w:kinsoku/>
        <w:wordWrap/>
        <w:overflowPunct/>
        <w:topLinePunct w:val="0"/>
        <w:autoSpaceDE/>
        <w:autoSpaceDN/>
        <w:bidi w:val="0"/>
        <w:adjustRightInd/>
        <w:spacing w:line="480" w:lineRule="exact"/>
        <w:ind w:firstLine="480" w:firstLineChars="200"/>
        <w:jc w:val="left"/>
        <w:textAlignment w:val="auto"/>
        <w:outlineLvl w:val="9"/>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供应商实行自愿原则并应当以书面形式作出资格信用承诺。供应商未提供资格信用承诺的，应当按照《中华人民共和国政府采购法》及其实施条例的相关规定提供相应的证明材料。存在不良信用记录的供应商，在信用修复前不适用承诺制。开标现场代理机构将对投标信誉进行在线查询，如有不符合供应商资格要求的，资格审查不予通过。</w:t>
      </w:r>
    </w:p>
    <w:p w14:paraId="69E8F70A">
      <w:pPr>
        <w:keepNext w:val="0"/>
        <w:keepLines w:val="0"/>
        <w:pageBreakBefore w:val="0"/>
        <w:widowControl w:val="0"/>
        <w:kinsoku/>
        <w:wordWrap/>
        <w:overflowPunct/>
        <w:topLinePunct w:val="0"/>
        <w:autoSpaceDE/>
        <w:autoSpaceDN/>
        <w:bidi w:val="0"/>
        <w:adjustRightInd/>
        <w:spacing w:line="480" w:lineRule="exact"/>
        <w:ind w:firstLine="480" w:firstLineChars="200"/>
        <w:jc w:val="left"/>
        <w:textAlignment w:val="auto"/>
        <w:outlineLvl w:val="9"/>
        <w:rPr>
          <w:rFonts w:hint="eastAsia" w:ascii="宋体" w:hAnsi="宋体" w:eastAsia="宋体" w:cs="宋体"/>
          <w:b w:val="0"/>
          <w:bCs/>
          <w:color w:val="auto"/>
          <w:kern w:val="0"/>
          <w:sz w:val="24"/>
          <w:szCs w:val="24"/>
          <w:highlight w:val="none"/>
          <w:lang w:val="en-US" w:eastAsia="zh-CN"/>
        </w:rPr>
      </w:pPr>
    </w:p>
    <w:p w14:paraId="16256A1B">
      <w:pPr>
        <w:keepNext w:val="0"/>
        <w:keepLines w:val="0"/>
        <w:pageBreakBefore w:val="0"/>
        <w:widowControl w:val="0"/>
        <w:kinsoku/>
        <w:wordWrap/>
        <w:overflowPunct/>
        <w:topLinePunct w:val="0"/>
        <w:autoSpaceDE/>
        <w:autoSpaceDN/>
        <w:bidi w:val="0"/>
        <w:adjustRightInd/>
        <w:spacing w:line="480" w:lineRule="exact"/>
        <w:ind w:firstLine="480" w:firstLineChars="200"/>
        <w:jc w:val="left"/>
        <w:textAlignment w:val="auto"/>
        <w:outlineLvl w:val="9"/>
        <w:rPr>
          <w:rFonts w:hint="eastAsia" w:ascii="宋体" w:hAnsi="宋体" w:eastAsia="宋体" w:cs="宋体"/>
          <w:b w:val="0"/>
          <w:bCs/>
          <w:color w:val="auto"/>
          <w:kern w:val="0"/>
          <w:sz w:val="24"/>
          <w:szCs w:val="24"/>
          <w:highlight w:val="none"/>
          <w:lang w:val="en-US" w:eastAsia="zh-CN"/>
        </w:rPr>
      </w:pPr>
    </w:p>
    <w:tbl>
      <w:tblPr>
        <w:tblStyle w:val="22"/>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574"/>
        <w:gridCol w:w="3283"/>
        <w:gridCol w:w="3316"/>
      </w:tblGrid>
      <w:tr w14:paraId="4337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513" w:type="pct"/>
            <w:noWrap w:val="0"/>
            <w:vAlign w:val="center"/>
          </w:tcPr>
          <w:p w14:paraId="1D84899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 号</w:t>
            </w:r>
          </w:p>
        </w:tc>
        <w:tc>
          <w:tcPr>
            <w:tcW w:w="4486" w:type="pct"/>
            <w:gridSpan w:val="3"/>
            <w:tcBorders>
              <w:bottom w:val="single" w:color="auto" w:sz="4" w:space="0"/>
            </w:tcBorders>
            <w:noWrap w:val="0"/>
            <w:vAlign w:val="center"/>
          </w:tcPr>
          <w:p w14:paraId="61FC0267">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审 查 标 准</w:t>
            </w:r>
          </w:p>
        </w:tc>
      </w:tr>
      <w:tr w14:paraId="3BDD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13" w:type="pct"/>
            <w:tcBorders>
              <w:right w:val="single" w:color="auto" w:sz="4" w:space="0"/>
            </w:tcBorders>
            <w:noWrap w:val="0"/>
            <w:vAlign w:val="center"/>
          </w:tcPr>
          <w:p w14:paraId="07901777">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w:t>
            </w:r>
          </w:p>
        </w:tc>
        <w:tc>
          <w:tcPr>
            <w:tcW w:w="864" w:type="pct"/>
            <w:tcBorders>
              <w:top w:val="single" w:color="auto" w:sz="4" w:space="0"/>
              <w:left w:val="single" w:color="auto" w:sz="4" w:space="0"/>
              <w:right w:val="single" w:color="auto" w:sz="4" w:space="0"/>
            </w:tcBorders>
            <w:noWrap w:val="0"/>
            <w:vAlign w:val="center"/>
          </w:tcPr>
          <w:p w14:paraId="3C6659D8">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类型</w:t>
            </w:r>
          </w:p>
        </w:tc>
        <w:tc>
          <w:tcPr>
            <w:tcW w:w="1802" w:type="pct"/>
            <w:tcBorders>
              <w:top w:val="single" w:color="auto" w:sz="4" w:space="0"/>
              <w:left w:val="single" w:color="auto" w:sz="4" w:space="0"/>
              <w:right w:val="single" w:color="auto" w:sz="4" w:space="0"/>
            </w:tcBorders>
            <w:noWrap w:val="0"/>
            <w:vAlign w:val="center"/>
          </w:tcPr>
          <w:p w14:paraId="768691D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审查要求</w:t>
            </w:r>
          </w:p>
        </w:tc>
        <w:tc>
          <w:tcPr>
            <w:tcW w:w="1819" w:type="pct"/>
            <w:tcBorders>
              <w:top w:val="single" w:color="auto" w:sz="4" w:space="0"/>
              <w:left w:val="single" w:color="auto" w:sz="4" w:space="0"/>
              <w:right w:val="single" w:color="auto" w:sz="4" w:space="0"/>
            </w:tcBorders>
            <w:noWrap w:val="0"/>
            <w:vAlign w:val="center"/>
          </w:tcPr>
          <w:p w14:paraId="7EFC1761">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要求说明</w:t>
            </w:r>
          </w:p>
        </w:tc>
      </w:tr>
      <w:tr w14:paraId="14B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513" w:type="pct"/>
            <w:tcBorders>
              <w:right w:val="single" w:color="auto" w:sz="4" w:space="0"/>
            </w:tcBorders>
            <w:noWrap w:val="0"/>
            <w:vAlign w:val="center"/>
          </w:tcPr>
          <w:p w14:paraId="08CA714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864" w:type="pct"/>
            <w:tcBorders>
              <w:top w:val="single" w:color="auto" w:sz="4" w:space="0"/>
              <w:left w:val="single" w:color="auto" w:sz="4" w:space="0"/>
              <w:right w:val="single" w:color="auto" w:sz="4" w:space="0"/>
            </w:tcBorders>
            <w:noWrap w:val="0"/>
            <w:vAlign w:val="center"/>
          </w:tcPr>
          <w:p w14:paraId="7A8888D4">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基本资质</w:t>
            </w:r>
          </w:p>
        </w:tc>
        <w:tc>
          <w:tcPr>
            <w:tcW w:w="1802" w:type="pct"/>
            <w:tcBorders>
              <w:top w:val="single" w:color="auto" w:sz="4" w:space="0"/>
              <w:left w:val="single" w:color="auto" w:sz="4" w:space="0"/>
              <w:right w:val="single" w:color="auto" w:sz="4" w:space="0"/>
            </w:tcBorders>
            <w:noWrap w:val="0"/>
            <w:vAlign w:val="center"/>
          </w:tcPr>
          <w:p w14:paraId="289E4A21">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满足《中华人民共和国政府采购法》第二十二条规定</w:t>
            </w:r>
          </w:p>
        </w:tc>
        <w:tc>
          <w:tcPr>
            <w:tcW w:w="1819" w:type="pct"/>
            <w:tcBorders>
              <w:top w:val="single" w:color="auto" w:sz="4" w:space="0"/>
              <w:left w:val="single" w:color="auto" w:sz="4" w:space="0"/>
              <w:right w:val="single" w:color="auto" w:sz="4" w:space="0"/>
            </w:tcBorders>
            <w:noWrap w:val="0"/>
            <w:vAlign w:val="center"/>
          </w:tcPr>
          <w:p w14:paraId="01F6B25C">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提供了符合要求的资格条件承诺函</w:t>
            </w:r>
          </w:p>
        </w:tc>
      </w:tr>
    </w:tbl>
    <w:p w14:paraId="5E43D2C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outlineLvl w:val="2"/>
        <w:rPr>
          <w:rFonts w:hint="eastAsia" w:ascii="宋体" w:hAnsi="宋体" w:eastAsia="宋体" w:cs="宋体"/>
          <w:b/>
          <w:color w:val="auto"/>
          <w:sz w:val="24"/>
          <w:szCs w:val="24"/>
          <w:highlight w:val="none"/>
        </w:rPr>
      </w:pPr>
      <w:bookmarkStart w:id="81" w:name="_Toc3933"/>
      <w:r>
        <w:rPr>
          <w:rFonts w:hint="eastAsia" w:ascii="宋体" w:hAnsi="宋体" w:eastAsia="宋体" w:cs="宋体"/>
          <w:b/>
          <w:color w:val="auto"/>
          <w:sz w:val="24"/>
          <w:szCs w:val="24"/>
          <w:highlight w:val="none"/>
        </w:rPr>
        <w:t>2.符合性审查</w:t>
      </w:r>
      <w:bookmarkEnd w:id="81"/>
    </w:p>
    <w:tbl>
      <w:tblPr>
        <w:tblStyle w:val="22"/>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659"/>
        <w:gridCol w:w="3267"/>
        <w:gridCol w:w="3317"/>
      </w:tblGrid>
      <w:tr w14:paraId="1975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noWrap w:val="0"/>
            <w:vAlign w:val="center"/>
          </w:tcPr>
          <w:p w14:paraId="6A964D7F">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 号</w:t>
            </w:r>
          </w:p>
        </w:tc>
        <w:tc>
          <w:tcPr>
            <w:tcW w:w="1659" w:type="dxa"/>
            <w:noWrap w:val="0"/>
            <w:vAlign w:val="center"/>
          </w:tcPr>
          <w:p w14:paraId="377FF5CF">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lang w:val="en-US" w:eastAsia="zh-CN"/>
              </w:rPr>
              <w:t>类型</w:t>
            </w:r>
          </w:p>
        </w:tc>
        <w:tc>
          <w:tcPr>
            <w:tcW w:w="3267" w:type="dxa"/>
            <w:noWrap w:val="0"/>
            <w:vAlign w:val="center"/>
          </w:tcPr>
          <w:p w14:paraId="6DE46820">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lang w:val="en-US" w:eastAsia="zh-CN"/>
              </w:rPr>
              <w:t>审查要求</w:t>
            </w:r>
          </w:p>
        </w:tc>
        <w:tc>
          <w:tcPr>
            <w:tcW w:w="3317" w:type="dxa"/>
            <w:noWrap w:val="0"/>
            <w:vAlign w:val="center"/>
          </w:tcPr>
          <w:p w14:paraId="7B7839A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lang w:val="en-US" w:eastAsia="zh-CN"/>
              </w:rPr>
              <w:t>要求说明</w:t>
            </w:r>
          </w:p>
        </w:tc>
      </w:tr>
      <w:tr w14:paraId="4BDE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noWrap w:val="0"/>
            <w:vAlign w:val="center"/>
          </w:tcPr>
          <w:p w14:paraId="750A3D27">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659" w:type="dxa"/>
            <w:noWrap w:val="0"/>
            <w:vAlign w:val="center"/>
          </w:tcPr>
          <w:p w14:paraId="4819A95F">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报价</w:t>
            </w:r>
          </w:p>
        </w:tc>
        <w:tc>
          <w:tcPr>
            <w:tcW w:w="3267" w:type="dxa"/>
            <w:noWrap w:val="0"/>
            <w:vAlign w:val="center"/>
          </w:tcPr>
          <w:p w14:paraId="692F7FC5">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iCs/>
                <w:color w:val="auto"/>
                <w:sz w:val="24"/>
                <w:szCs w:val="24"/>
                <w:highlight w:val="none"/>
                <w:lang w:val="en-US" w:eastAsia="zh-CN"/>
              </w:rPr>
              <w:t>按要求填写投标报价，</w:t>
            </w:r>
            <w:r>
              <w:rPr>
                <w:rFonts w:hint="eastAsia" w:ascii="宋体" w:hAnsi="宋体" w:eastAsia="宋体" w:cs="宋体"/>
                <w:color w:val="auto"/>
                <w:kern w:val="0"/>
                <w:sz w:val="24"/>
                <w:szCs w:val="24"/>
                <w:highlight w:val="none"/>
              </w:rPr>
              <w:t>投标文件中对同一项目只有一个有效报价，并且报价不超过其采购预算价</w:t>
            </w:r>
          </w:p>
        </w:tc>
        <w:tc>
          <w:tcPr>
            <w:tcW w:w="3317" w:type="dxa"/>
            <w:noWrap w:val="0"/>
            <w:vAlign w:val="center"/>
          </w:tcPr>
          <w:p w14:paraId="4D1C65E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已公示单项投标限价的，也不可超过单项投标限价</w:t>
            </w:r>
          </w:p>
        </w:tc>
      </w:tr>
      <w:tr w14:paraId="1C96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restart"/>
            <w:noWrap w:val="0"/>
            <w:vAlign w:val="center"/>
          </w:tcPr>
          <w:p w14:paraId="09D6F896">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659" w:type="dxa"/>
            <w:vMerge w:val="restart"/>
            <w:noWrap w:val="0"/>
            <w:vAlign w:val="center"/>
          </w:tcPr>
          <w:p w14:paraId="383AA244">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w:t>
            </w:r>
          </w:p>
        </w:tc>
        <w:tc>
          <w:tcPr>
            <w:tcW w:w="3267" w:type="dxa"/>
            <w:noWrap w:val="0"/>
            <w:vAlign w:val="center"/>
          </w:tcPr>
          <w:p w14:paraId="0297A9EC">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投标文件未附有采购人不能接受的条件</w:t>
            </w:r>
          </w:p>
        </w:tc>
        <w:tc>
          <w:tcPr>
            <w:tcW w:w="3317" w:type="dxa"/>
            <w:noWrap w:val="0"/>
            <w:vAlign w:val="center"/>
          </w:tcPr>
          <w:p w14:paraId="473AC9F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p>
        </w:tc>
      </w:tr>
      <w:tr w14:paraId="7111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06F79B42">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106393EA">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4719AC65">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投标文件内容</w:t>
            </w:r>
          </w:p>
        </w:tc>
        <w:tc>
          <w:tcPr>
            <w:tcW w:w="3317" w:type="dxa"/>
            <w:noWrap w:val="0"/>
            <w:vAlign w:val="center"/>
          </w:tcPr>
          <w:p w14:paraId="3D316417">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内容全面、完整、字迹清晰可辨</w:t>
            </w:r>
          </w:p>
        </w:tc>
      </w:tr>
      <w:tr w14:paraId="511E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79E38A29">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5AAEA273">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652CDDB7">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投标文件格式</w:t>
            </w:r>
            <w:r>
              <w:rPr>
                <w:rFonts w:hint="eastAsia" w:ascii="宋体" w:hAnsi="宋体" w:eastAsia="宋体" w:cs="宋体"/>
                <w:iCs/>
                <w:color w:val="auto"/>
                <w:sz w:val="24"/>
                <w:szCs w:val="24"/>
                <w:highlight w:val="none"/>
                <w:lang w:val="en-US" w:eastAsia="zh-CN"/>
              </w:rPr>
              <w:t>符合</w:t>
            </w:r>
            <w:r>
              <w:rPr>
                <w:rFonts w:hint="eastAsia" w:ascii="宋体" w:hAnsi="宋体" w:eastAsia="宋体" w:cs="宋体"/>
                <w:iCs/>
                <w:color w:val="auto"/>
                <w:sz w:val="24"/>
                <w:szCs w:val="24"/>
                <w:highlight w:val="none"/>
              </w:rPr>
              <w:t>采购文件</w:t>
            </w:r>
            <w:r>
              <w:rPr>
                <w:rFonts w:hint="eastAsia" w:ascii="宋体" w:hAnsi="宋体" w:eastAsia="宋体" w:cs="宋体"/>
                <w:iCs/>
                <w:color w:val="auto"/>
                <w:sz w:val="24"/>
                <w:szCs w:val="24"/>
                <w:highlight w:val="none"/>
                <w:lang w:val="en-US" w:eastAsia="zh-CN"/>
              </w:rPr>
              <w:t>要求</w:t>
            </w:r>
          </w:p>
        </w:tc>
        <w:tc>
          <w:tcPr>
            <w:tcW w:w="3317" w:type="dxa"/>
            <w:noWrap w:val="0"/>
            <w:vAlign w:val="center"/>
          </w:tcPr>
          <w:p w14:paraId="55178793">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1DC0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restart"/>
            <w:noWrap w:val="0"/>
            <w:vAlign w:val="center"/>
          </w:tcPr>
          <w:p w14:paraId="113452BD">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659" w:type="dxa"/>
            <w:vMerge w:val="restart"/>
            <w:noWrap w:val="0"/>
            <w:vAlign w:val="center"/>
          </w:tcPr>
          <w:p w14:paraId="02B2D6F0">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w:t>
            </w:r>
          </w:p>
        </w:tc>
        <w:tc>
          <w:tcPr>
            <w:tcW w:w="3267" w:type="dxa"/>
            <w:noWrap w:val="0"/>
            <w:vAlign w:val="center"/>
          </w:tcPr>
          <w:p w14:paraId="1FBEBED7">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按照采购文件规定签署、盖章</w:t>
            </w:r>
          </w:p>
        </w:tc>
        <w:tc>
          <w:tcPr>
            <w:tcW w:w="3317" w:type="dxa"/>
            <w:noWrap w:val="0"/>
            <w:vAlign w:val="center"/>
          </w:tcPr>
          <w:p w14:paraId="6852FCB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投标文件未按要求盖单位电子签章，未按要求盖法人代表或委托代理人电子签名签章的不予通过</w:t>
            </w:r>
          </w:p>
        </w:tc>
      </w:tr>
      <w:tr w14:paraId="6CD0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07A2B0FC">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386CCB38">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lang w:bidi="ar"/>
              </w:rPr>
            </w:pPr>
          </w:p>
        </w:tc>
        <w:tc>
          <w:tcPr>
            <w:tcW w:w="3267" w:type="dxa"/>
            <w:noWrap w:val="0"/>
            <w:vAlign w:val="center"/>
          </w:tcPr>
          <w:p w14:paraId="1E79E31B">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投标有效期符合采购文件要求</w:t>
            </w:r>
          </w:p>
        </w:tc>
        <w:tc>
          <w:tcPr>
            <w:tcW w:w="3317" w:type="dxa"/>
            <w:noWrap w:val="0"/>
            <w:vAlign w:val="center"/>
          </w:tcPr>
          <w:p w14:paraId="00DE96BC">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480C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3A22C928">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4B7DE433">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0C0D48AB">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按采购内容进行整体投标，数量符合要求，没有缺项、漏项</w:t>
            </w:r>
          </w:p>
        </w:tc>
        <w:tc>
          <w:tcPr>
            <w:tcW w:w="3317" w:type="dxa"/>
            <w:noWrap w:val="0"/>
            <w:vAlign w:val="center"/>
          </w:tcPr>
          <w:p w14:paraId="780FE54B">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未按招标清单报价，存有缺项漏项或擅自变更单位、数量的不予通过</w:t>
            </w:r>
          </w:p>
        </w:tc>
      </w:tr>
      <w:tr w14:paraId="2C4A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4A4EF09E">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2AA4545C">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2E1917A9">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lang w:val="en-US" w:eastAsia="zh-CN"/>
              </w:rPr>
              <w:t>供货时间</w:t>
            </w:r>
            <w:r>
              <w:rPr>
                <w:rFonts w:hint="eastAsia" w:ascii="宋体" w:hAnsi="宋体" w:eastAsia="宋体" w:cs="宋体"/>
                <w:color w:val="auto"/>
                <w:sz w:val="24"/>
                <w:szCs w:val="24"/>
                <w:highlight w:val="none"/>
              </w:rPr>
              <w:t>满足采购文件要求</w:t>
            </w:r>
          </w:p>
        </w:tc>
        <w:tc>
          <w:tcPr>
            <w:tcW w:w="3317" w:type="dxa"/>
            <w:noWrap w:val="0"/>
            <w:vAlign w:val="center"/>
          </w:tcPr>
          <w:p w14:paraId="109A6FE2">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p>
        </w:tc>
      </w:tr>
      <w:tr w14:paraId="1147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56509344">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76358039">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18CB2B2C">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质量承诺满足采购文件要求</w:t>
            </w:r>
          </w:p>
        </w:tc>
        <w:tc>
          <w:tcPr>
            <w:tcW w:w="3317" w:type="dxa"/>
            <w:noWrap w:val="0"/>
            <w:vAlign w:val="center"/>
          </w:tcPr>
          <w:p w14:paraId="4557E406">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55F4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50" w:type="dxa"/>
            <w:vMerge w:val="continue"/>
            <w:noWrap w:val="0"/>
            <w:vAlign w:val="center"/>
          </w:tcPr>
          <w:p w14:paraId="12CCB287">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0"/>
                <w:sz w:val="24"/>
                <w:szCs w:val="24"/>
                <w:highlight w:val="none"/>
              </w:rPr>
            </w:pPr>
          </w:p>
        </w:tc>
        <w:tc>
          <w:tcPr>
            <w:tcW w:w="1659" w:type="dxa"/>
            <w:vMerge w:val="continue"/>
            <w:noWrap w:val="0"/>
            <w:vAlign w:val="center"/>
          </w:tcPr>
          <w:p w14:paraId="3121ADB3">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color w:val="auto"/>
                <w:sz w:val="24"/>
                <w:szCs w:val="24"/>
                <w:highlight w:val="none"/>
              </w:rPr>
            </w:pPr>
          </w:p>
        </w:tc>
        <w:tc>
          <w:tcPr>
            <w:tcW w:w="3267" w:type="dxa"/>
            <w:noWrap w:val="0"/>
            <w:vAlign w:val="center"/>
          </w:tcPr>
          <w:p w14:paraId="53DC7C9D">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其他实质性要求</w:t>
            </w:r>
          </w:p>
        </w:tc>
        <w:tc>
          <w:tcPr>
            <w:tcW w:w="3317" w:type="dxa"/>
            <w:noWrap w:val="0"/>
            <w:vAlign w:val="center"/>
          </w:tcPr>
          <w:p w14:paraId="134B96EB">
            <w:pPr>
              <w:pStyle w:val="5"/>
              <w:keepNext w:val="0"/>
              <w:keepLines w:val="0"/>
              <w:pageBreakBefore w:val="0"/>
              <w:widowControl w:val="0"/>
              <w:shd w:val="clear" w:color="auto" w:fill="FFFFFF"/>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1、供应商不按评标委员会要求澄清补正的不予通过；</w:t>
            </w:r>
          </w:p>
          <w:p w14:paraId="6E4F4345">
            <w:pPr>
              <w:keepNext w:val="0"/>
              <w:keepLines w:val="0"/>
              <w:pageBreakBefore w:val="0"/>
              <w:widowControl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2、符合法律法规、采购文件规定的其他实质性要求。</w:t>
            </w:r>
          </w:p>
        </w:tc>
      </w:tr>
    </w:tbl>
    <w:p w14:paraId="7844E85D">
      <w:pPr>
        <w:keepNext w:val="0"/>
        <w:keepLines w:val="0"/>
        <w:pageBreakBefore w:val="0"/>
        <w:widowControl w:val="0"/>
        <w:kinsoku/>
        <w:wordWrap/>
        <w:overflowPunct/>
        <w:topLinePunct w:val="0"/>
        <w:autoSpaceDE/>
        <w:autoSpaceDN/>
        <w:bidi w:val="0"/>
        <w:adjustRightInd w:val="0"/>
        <w:snapToGrid/>
        <w:spacing w:line="400" w:lineRule="exact"/>
        <w:ind w:firstLine="482" w:firstLineChars="200"/>
        <w:contextualSpacing/>
        <w:textAlignment w:val="auto"/>
        <w:rPr>
          <w:rFonts w:ascii="宋体" w:hAnsi="宋体" w:cs="宋体"/>
          <w:b/>
          <w:color w:val="auto"/>
          <w:sz w:val="24"/>
        </w:rPr>
      </w:pPr>
      <w:r>
        <w:rPr>
          <w:rFonts w:hint="eastAsia" w:ascii="宋体" w:hAnsi="宋体" w:cs="宋体"/>
          <w:b/>
          <w:color w:val="auto"/>
          <w:sz w:val="24"/>
        </w:rPr>
        <w:t>二、投标报价复核</w:t>
      </w:r>
    </w:p>
    <w:p w14:paraId="26DB0290">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1、对确定为实质上响应招标采购文件要求的投标书进行审核，看其是否有计算上和累加上的算术错误，修正错误的原则如下：</w:t>
      </w:r>
    </w:p>
    <w:p w14:paraId="51E70125">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（1）投标文件中开标一览表（报价表）内容与投标文件中明细表内容不一致的，以开标一览表（报价表）为准。</w:t>
      </w:r>
    </w:p>
    <w:p w14:paraId="119E34BE">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jc w:val="left"/>
        <w:textAlignment w:val="auto"/>
        <w:rPr>
          <w:rFonts w:ascii="宋体" w:hAnsi="宋体" w:cs="宋体"/>
          <w:color w:val="auto"/>
          <w:sz w:val="24"/>
        </w:rPr>
      </w:pPr>
      <w:r>
        <w:rPr>
          <w:rFonts w:hint="eastAsia" w:ascii="宋体" w:hAnsi="宋体" w:cs="宋体"/>
          <w:color w:val="auto"/>
          <w:sz w:val="24"/>
        </w:rPr>
        <w:t>（2）投标文件中的投标报价如大写金额与小写金额不一致的，以大写金额为准；总价金额与单价汇总金额不一致的，以单价金额计算结果为准；单价金额小数点有明显错位的，应以总价为准，并修改单价。</w:t>
      </w:r>
    </w:p>
    <w:p w14:paraId="421F61C5">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2、为了保证项目的正常实施，维护政府采购的正常招标秩序，投标人不得以低于成本价（或进价）报价。当评标小组一致认定某投标人的投标报价明显不合理或者低于成本价，有可能影响</w:t>
      </w:r>
      <w:r>
        <w:rPr>
          <w:rFonts w:hint="eastAsia" w:ascii="宋体" w:hAnsi="宋体" w:cs="宋体"/>
          <w:color w:val="auto"/>
          <w:sz w:val="24"/>
          <w:lang w:val="en-US" w:eastAsia="zh-CN"/>
        </w:rPr>
        <w:t>货物</w:t>
      </w:r>
      <w:r>
        <w:rPr>
          <w:rFonts w:hint="eastAsia" w:ascii="宋体" w:hAnsi="宋体" w:cs="宋体"/>
          <w:color w:val="auto"/>
          <w:sz w:val="24"/>
        </w:rPr>
        <w:t>质量和不能诚信履约时，应当要求其在规定的期限内（评标会议结束前）提供书面文件予以解释说明，并提交相关证明材料。否则，评标委员会可认定该投标人的投标报价为无效投标报价。</w:t>
      </w:r>
    </w:p>
    <w:bookmarkEnd w:id="64"/>
    <w:bookmarkEnd w:id="65"/>
    <w:bookmarkEnd w:id="66"/>
    <w:p w14:paraId="08A2E1BC">
      <w:pPr>
        <w:keepNext w:val="0"/>
        <w:keepLines w:val="0"/>
        <w:pageBreakBefore w:val="0"/>
        <w:widowControl w:val="0"/>
        <w:kinsoku/>
        <w:wordWrap/>
        <w:overflowPunct/>
        <w:topLinePunct w:val="0"/>
        <w:autoSpaceDE/>
        <w:autoSpaceDN/>
        <w:bidi w:val="0"/>
        <w:adjustRightInd w:val="0"/>
        <w:snapToGrid/>
        <w:spacing w:line="400" w:lineRule="exact"/>
        <w:ind w:firstLine="482" w:firstLineChars="200"/>
        <w:contextualSpacing/>
        <w:textAlignment w:val="auto"/>
        <w:rPr>
          <w:rFonts w:ascii="宋体" w:hAnsi="宋体" w:cs="宋体"/>
          <w:b/>
          <w:bCs/>
          <w:color w:val="auto"/>
          <w:sz w:val="24"/>
        </w:rPr>
      </w:pPr>
      <w:r>
        <w:rPr>
          <w:rFonts w:hint="eastAsia" w:ascii="宋体" w:hAnsi="宋体" w:cs="宋体"/>
          <w:b/>
          <w:bCs/>
          <w:color w:val="auto"/>
          <w:sz w:val="24"/>
        </w:rPr>
        <w:t>第二、综合评分（总分100分）</w:t>
      </w:r>
    </w:p>
    <w:p w14:paraId="773AFA68">
      <w:pPr>
        <w:keepNext w:val="0"/>
        <w:keepLines w:val="0"/>
        <w:pageBreakBefore w:val="0"/>
        <w:widowControl w:val="0"/>
        <w:kinsoku/>
        <w:wordWrap/>
        <w:overflowPunct/>
        <w:topLinePunct w:val="0"/>
        <w:autoSpaceDE/>
        <w:autoSpaceDN/>
        <w:bidi w:val="0"/>
        <w:adjustRightInd w:val="0"/>
        <w:snapToGrid/>
        <w:spacing w:line="400" w:lineRule="exact"/>
        <w:ind w:firstLine="482" w:firstLineChars="200"/>
        <w:contextualSpacing/>
        <w:textAlignment w:val="auto"/>
        <w:rPr>
          <w:rFonts w:ascii="宋体" w:hAnsi="宋体" w:cs="宋体"/>
          <w:b/>
          <w:bCs/>
          <w:color w:val="auto"/>
          <w:sz w:val="24"/>
        </w:rPr>
      </w:pPr>
      <w:r>
        <w:rPr>
          <w:rFonts w:hint="eastAsia" w:ascii="宋体" w:hAnsi="宋体" w:cs="宋体"/>
          <w:b/>
          <w:bCs/>
          <w:color w:val="auto"/>
          <w:sz w:val="24"/>
        </w:rPr>
        <w:t>本项目评标采用综合评分法。</w:t>
      </w:r>
    </w:p>
    <w:p w14:paraId="2279CB35">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综合评分法是指在最大限度地满足招标</w:t>
      </w:r>
      <w:r>
        <w:rPr>
          <w:rFonts w:hint="eastAsia" w:ascii="宋体" w:hAnsi="宋体" w:cs="宋体"/>
          <w:color w:val="auto"/>
          <w:sz w:val="24"/>
          <w:lang w:eastAsia="zh-CN"/>
        </w:rPr>
        <w:t>采购</w:t>
      </w:r>
      <w:r>
        <w:rPr>
          <w:rFonts w:hint="eastAsia" w:ascii="宋体" w:hAnsi="宋体" w:cs="宋体"/>
          <w:color w:val="auto"/>
          <w:sz w:val="24"/>
        </w:rPr>
        <w:t>招标文件实质性要求的前提下，对采购招标文件中规定的投标价格、商务部分、技术部分等各项因素评标小组成员独立对每份有效投标文件进行综合评定和量化打分，汇总后计算出各投标单位的评审总得分；按评标总得分由高到低顺序排列推荐中标候选投标单位的评标办法。</w:t>
      </w:r>
    </w:p>
    <w:p w14:paraId="4E7955C9">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招标方组织有关专家组成评标小组，对全部投标文件进行评审打分；只有初步评审合格的投标人方可进入综合评分阶段。</w:t>
      </w:r>
    </w:p>
    <w:p w14:paraId="41795F93">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投标人的综合得分＝F1+F2。</w:t>
      </w:r>
    </w:p>
    <w:p w14:paraId="150DA7C3">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其中：F1、F2分别为投标报价（满分</w:t>
      </w:r>
      <w:r>
        <w:rPr>
          <w:rFonts w:hint="eastAsia" w:ascii="宋体" w:hAnsi="宋体" w:cs="宋体"/>
          <w:color w:val="auto"/>
          <w:sz w:val="24"/>
          <w:lang w:val="en-US" w:eastAsia="zh-CN"/>
        </w:rPr>
        <w:t>30</w:t>
      </w:r>
      <w:r>
        <w:rPr>
          <w:rFonts w:hint="eastAsia" w:ascii="宋体" w:hAnsi="宋体" w:cs="宋体"/>
          <w:color w:val="auto"/>
          <w:sz w:val="24"/>
        </w:rPr>
        <w:t>分）、</w:t>
      </w:r>
      <w:r>
        <w:rPr>
          <w:rFonts w:hint="eastAsia" w:ascii="宋体" w:hAnsi="宋体" w:cs="宋体"/>
          <w:color w:val="auto"/>
          <w:sz w:val="24"/>
          <w:lang w:val="en-US" w:eastAsia="zh-CN"/>
        </w:rPr>
        <w:t>技术商务</w:t>
      </w:r>
      <w:r>
        <w:rPr>
          <w:rFonts w:hint="eastAsia" w:ascii="宋体" w:hAnsi="宋体" w:cs="宋体"/>
          <w:color w:val="auto"/>
          <w:sz w:val="24"/>
        </w:rPr>
        <w:t>部分（满分</w:t>
      </w:r>
      <w:r>
        <w:rPr>
          <w:rFonts w:hint="eastAsia" w:ascii="宋体" w:hAnsi="宋体" w:cs="宋体"/>
          <w:color w:val="auto"/>
          <w:sz w:val="24"/>
          <w:lang w:val="en-US" w:eastAsia="zh-CN"/>
        </w:rPr>
        <w:t>70</w:t>
      </w:r>
      <w:r>
        <w:rPr>
          <w:rFonts w:hint="eastAsia" w:ascii="宋体" w:hAnsi="宋体" w:cs="宋体"/>
          <w:color w:val="auto"/>
          <w:sz w:val="24"/>
        </w:rPr>
        <w:t>分）</w:t>
      </w:r>
      <w:r>
        <w:rPr>
          <w:rFonts w:hint="eastAsia" w:ascii="宋体" w:hAnsi="宋体" w:cs="宋体"/>
          <w:color w:val="auto"/>
          <w:sz w:val="24"/>
          <w:lang w:eastAsia="zh-CN"/>
        </w:rPr>
        <w:t>、</w:t>
      </w:r>
      <w:r>
        <w:rPr>
          <w:rFonts w:hint="eastAsia" w:ascii="宋体" w:hAnsi="宋体" w:cs="宋体"/>
          <w:color w:val="auto"/>
          <w:sz w:val="24"/>
          <w:lang w:val="en-US" w:eastAsia="zh-CN"/>
        </w:rPr>
        <w:t>2</w:t>
      </w:r>
      <w:r>
        <w:rPr>
          <w:rFonts w:hint="eastAsia" w:ascii="宋体" w:hAnsi="宋体" w:cs="宋体"/>
          <w:color w:val="auto"/>
          <w:sz w:val="24"/>
        </w:rPr>
        <w:t>项评分因素的汇总得分；</w:t>
      </w:r>
    </w:p>
    <w:p w14:paraId="78C39204">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其中：</w:t>
      </w:r>
    </w:p>
    <w:p w14:paraId="1DB2780E">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落实政府采购政策要求：本项目不属于专门面向中小微企业采购，评审时，小微型企业、监狱企业、残疾人福利性单位报价给予10%的扣除。用扣除后的价格参与评审，监狱企业、残疾人福利性单位属于小型、微型企业的，不重复享受政策。</w:t>
      </w:r>
    </w:p>
    <w:p w14:paraId="7D6D143B">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 xml:space="preserve">2、残疾人福利性单位、监狱企业视同小型、微型企业。 </w:t>
      </w:r>
    </w:p>
    <w:p w14:paraId="39E660EA">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3、监狱企业或残疾人福利性单位属于小型、微型企业的，不重复享受政策，只进行一次价格扣除。</w:t>
      </w:r>
    </w:p>
    <w:p w14:paraId="05EAB268">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hint="eastAsia" w:ascii="宋体" w:hAnsi="宋体" w:cs="宋体"/>
          <w:color w:val="auto"/>
          <w:sz w:val="24"/>
          <w:lang w:eastAsia="zh-CN"/>
        </w:rPr>
      </w:pPr>
      <w:r>
        <w:rPr>
          <w:rFonts w:hint="eastAsia" w:ascii="宋体" w:hAnsi="宋体" w:cs="宋体"/>
          <w:color w:val="auto"/>
          <w:sz w:val="24"/>
        </w:rPr>
        <w:t>4、按照《节能产品政府采购实施意见》、《关于环境标志产品政府采购实施的意见》、《国务院办公厅关于建立政府强制采购节能产品制度的通知》的规定企业所投产品为节能环保产品的给予优先采购</w:t>
      </w:r>
      <w:r>
        <w:rPr>
          <w:rFonts w:hint="eastAsia" w:ascii="宋体" w:hAnsi="宋体" w:cs="宋体"/>
          <w:color w:val="auto"/>
          <w:sz w:val="24"/>
          <w:lang w:eastAsia="zh-CN"/>
        </w:rPr>
        <w:t>。</w:t>
      </w:r>
    </w:p>
    <w:p w14:paraId="41414C52">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hint="default" w:ascii="宋体" w:hAnsi="宋体" w:cs="宋体"/>
          <w:b/>
          <w:bCs/>
          <w:color w:val="auto"/>
          <w:sz w:val="24"/>
          <w:lang w:val="en-US" w:eastAsia="zh-CN"/>
        </w:rPr>
      </w:pPr>
      <w:r>
        <w:rPr>
          <w:rFonts w:hint="eastAsia" w:ascii="宋体" w:cs="宋体"/>
          <w:color w:val="auto"/>
          <w:sz w:val="24"/>
        </w:rPr>
        <w:t>★</w:t>
      </w:r>
      <w:r>
        <w:rPr>
          <w:rFonts w:hint="eastAsia" w:ascii="宋体" w:hAnsi="宋体" w:cs="宋体"/>
          <w:b/>
          <w:bCs/>
          <w:color w:val="auto"/>
          <w:sz w:val="24"/>
          <w:lang w:val="en-US" w:eastAsia="zh-CN"/>
        </w:rPr>
        <w:t>5、本项目为非单一货物采购项目，根据财政部令第87号第三十一条规定，确定核心产品为：虚拟仿真平台（配套课程资源）。不同供应商所投核心产品品牌相同且通过资格及符合性审查的，按照财政部令第87号第三十一条规定按1家供应商计算有效供应商数量；综合评分法下同品牌仅得分最高一家参与中标（成交）候选人排序，其余同品牌供应商不作为中标（成交）候选人。供应商须在响应文件《货物分项报价明细表》中清晰列明核心产品品牌、规格型号、生产厂家，未列明的按响应无效处理。</w:t>
      </w:r>
    </w:p>
    <w:p w14:paraId="0B3B5B3E">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contextualSpacing/>
        <w:textAlignment w:val="auto"/>
        <w:rPr>
          <w:rFonts w:hint="eastAsia" w:ascii="宋体" w:hAnsi="宋体" w:cs="宋体"/>
          <w:color w:val="auto"/>
          <w:sz w:val="24"/>
        </w:rPr>
      </w:pPr>
      <w:r>
        <w:rPr>
          <w:rFonts w:hint="eastAsia" w:ascii="宋体" w:hAnsi="宋体" w:cs="宋体"/>
          <w:color w:val="auto"/>
          <w:sz w:val="24"/>
        </w:rPr>
        <w:t>得分细则详见下表：</w:t>
      </w:r>
    </w:p>
    <w:tbl>
      <w:tblPr>
        <w:tblStyle w:val="22"/>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1"/>
      </w:tblGrid>
      <w:tr w14:paraId="72A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9641" w:type="dxa"/>
            <w:tcBorders>
              <w:top w:val="single" w:color="auto" w:sz="4" w:space="0"/>
              <w:left w:val="single" w:color="auto" w:sz="4" w:space="0"/>
              <w:bottom w:val="single" w:color="auto" w:sz="4" w:space="0"/>
              <w:right w:val="single" w:color="auto" w:sz="4" w:space="0"/>
            </w:tcBorders>
            <w:noWrap/>
            <w:vAlign w:val="center"/>
          </w:tcPr>
          <w:p w14:paraId="040EA328">
            <w:pPr>
              <w:keepNext w:val="0"/>
              <w:keepLines w:val="0"/>
              <w:pageBreakBefore w:val="0"/>
              <w:kinsoku/>
              <w:wordWrap/>
              <w:overflowPunct/>
              <w:topLinePunct w:val="0"/>
              <w:autoSpaceDE/>
              <w:autoSpaceDN/>
              <w:bidi w:val="0"/>
              <w:spacing w:line="360" w:lineRule="auto"/>
              <w:textAlignment w:val="auto"/>
              <w:rPr>
                <w:rFonts w:ascii="宋体" w:hAnsi="宋体" w:cs="宋体"/>
                <w:b/>
                <w:bCs/>
                <w:color w:val="auto"/>
                <w:szCs w:val="21"/>
              </w:rPr>
            </w:pPr>
            <w:r>
              <w:rPr>
                <w:rFonts w:hint="eastAsia" w:ascii="宋体" w:hAnsi="宋体" w:cs="宋体"/>
                <w:b/>
                <w:bCs/>
                <w:color w:val="auto"/>
                <w:szCs w:val="21"/>
              </w:rPr>
              <w:t>1、投标报价F1（满分</w:t>
            </w:r>
            <w:r>
              <w:rPr>
                <w:rFonts w:ascii="宋体" w:hAnsi="宋体" w:cs="宋体"/>
                <w:b/>
                <w:bCs/>
                <w:color w:val="auto"/>
                <w:szCs w:val="21"/>
              </w:rPr>
              <w:t>30</w:t>
            </w:r>
            <w:r>
              <w:rPr>
                <w:rFonts w:hint="eastAsia" w:ascii="宋体" w:hAnsi="宋体" w:cs="宋体"/>
                <w:b/>
                <w:bCs/>
                <w:color w:val="auto"/>
                <w:szCs w:val="21"/>
              </w:rPr>
              <w:t>分）</w:t>
            </w:r>
          </w:p>
        </w:tc>
      </w:tr>
      <w:tr w14:paraId="239C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0" w:hRule="atLeast"/>
          <w:jc w:val="center"/>
        </w:trPr>
        <w:tc>
          <w:tcPr>
            <w:tcW w:w="9641" w:type="dxa"/>
            <w:tcBorders>
              <w:top w:val="single" w:color="auto" w:sz="4" w:space="0"/>
              <w:left w:val="single" w:color="auto" w:sz="4" w:space="0"/>
              <w:bottom w:val="single" w:color="auto" w:sz="4" w:space="0"/>
              <w:right w:val="single" w:color="auto" w:sz="4" w:space="0"/>
            </w:tcBorders>
            <w:noWrap/>
            <w:vAlign w:val="center"/>
          </w:tcPr>
          <w:p w14:paraId="5F4E325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投标报价得分计算公式=评标基准价/该投标供应商报价×</w:t>
            </w:r>
            <w:r>
              <w:rPr>
                <w:rFonts w:ascii="宋体" w:hAnsi="宋体" w:cs="宋体"/>
                <w:color w:val="auto"/>
                <w:sz w:val="24"/>
                <w:szCs w:val="24"/>
              </w:rPr>
              <w:t>30</w:t>
            </w:r>
          </w:p>
          <w:p w14:paraId="1FBDC7E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即：F1=[C/（B1，B2，…，Bn）]×</w:t>
            </w:r>
            <w:r>
              <w:rPr>
                <w:rFonts w:ascii="宋体" w:hAnsi="宋体" w:cs="宋体"/>
                <w:color w:val="auto"/>
                <w:sz w:val="24"/>
                <w:szCs w:val="24"/>
              </w:rPr>
              <w:t>30</w:t>
            </w:r>
          </w:p>
          <w:p w14:paraId="142B3A8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注：C为评标基准价，即满足采购文件要求且投标价格最低的投标报价；B1，B2，…，Bn为经审查合格满足采购文件要求的各有效投标报价。</w:t>
            </w:r>
          </w:p>
          <w:p w14:paraId="39B3F68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说明：</w:t>
            </w:r>
          </w:p>
          <w:p w14:paraId="7F2C4AE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（1）小微或监狱企业或残疾人福利性单位的投标报价=该投标供应商的投标价格×（1-10%）。</w:t>
            </w:r>
          </w:p>
          <w:p w14:paraId="1E647E89">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rPr>
                <w:rFonts w:ascii="宋体" w:hAnsi="宋体" w:cs="宋体"/>
                <w:color w:val="auto"/>
                <w:szCs w:val="21"/>
              </w:rPr>
            </w:pPr>
            <w:r>
              <w:rPr>
                <w:rFonts w:hint="eastAsia" w:ascii="宋体" w:hAnsi="宋体" w:cs="宋体"/>
                <w:b/>
                <w:bCs/>
                <w:color w:val="auto"/>
                <w:sz w:val="24"/>
                <w:szCs w:val="24"/>
              </w:rPr>
              <w:t>（2）投标人的报价明显低于其他通过资格性审查和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bl>
    <w:p w14:paraId="0E870803">
      <w:pPr>
        <w:spacing w:line="360" w:lineRule="auto"/>
        <w:ind w:firstLine="371" w:firstLineChars="176"/>
        <w:rPr>
          <w:rFonts w:hint="eastAsia" w:ascii="宋体" w:hAnsi="宋体" w:cs="宋体"/>
          <w:b/>
          <w:color w:val="auto"/>
          <w:szCs w:val="21"/>
        </w:rPr>
      </w:pPr>
    </w:p>
    <w:p w14:paraId="08E193E4">
      <w:pPr>
        <w:spacing w:line="360" w:lineRule="auto"/>
        <w:ind w:firstLine="371" w:firstLineChars="176"/>
        <w:rPr>
          <w:rFonts w:hint="eastAsia" w:ascii="宋体" w:hAnsi="宋体" w:cs="宋体"/>
          <w:b/>
          <w:color w:val="auto"/>
          <w:szCs w:val="21"/>
        </w:rPr>
      </w:pPr>
    </w:p>
    <w:tbl>
      <w:tblPr>
        <w:tblStyle w:val="22"/>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700"/>
        <w:gridCol w:w="6421"/>
        <w:gridCol w:w="750"/>
        <w:gridCol w:w="725"/>
      </w:tblGrid>
      <w:tr w14:paraId="2B54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624" w:type="dxa"/>
            <w:gridSpan w:val="2"/>
            <w:tcBorders>
              <w:top w:val="single" w:color="auto" w:sz="4" w:space="0"/>
              <w:left w:val="single" w:color="auto" w:sz="4" w:space="0"/>
              <w:bottom w:val="single" w:color="auto" w:sz="4" w:space="0"/>
              <w:right w:val="single" w:color="auto" w:sz="4" w:space="0"/>
            </w:tcBorders>
            <w:noWrap/>
            <w:vAlign w:val="center"/>
          </w:tcPr>
          <w:p w14:paraId="4F5996F8">
            <w:pPr>
              <w:keepNext w:val="0"/>
              <w:keepLines w:val="0"/>
              <w:pageBreakBefore w:val="0"/>
              <w:kinsoku/>
              <w:wordWrap/>
              <w:overflowPunct/>
              <w:topLinePunct w:val="0"/>
              <w:autoSpaceDE/>
              <w:autoSpaceDN/>
              <w:bidi w:val="0"/>
              <w:spacing w:line="360" w:lineRule="auto"/>
              <w:jc w:val="center"/>
              <w:textAlignment w:val="auto"/>
              <w:rPr>
                <w:rFonts w:hint="eastAsia" w:ascii="宋体" w:hAnsi="宋体" w:cs="宋体"/>
                <w:b/>
                <w:bCs/>
                <w:color w:val="auto"/>
                <w:szCs w:val="21"/>
                <w:lang w:val="en-US" w:eastAsia="zh-CN"/>
              </w:rPr>
            </w:pPr>
            <w:r>
              <w:rPr>
                <w:rFonts w:hint="eastAsia" w:ascii="Times New Roman" w:hAnsi="Times New Roman" w:eastAsia="宋体" w:cs="Times New Roman"/>
                <w:b/>
                <w:bCs/>
                <w:color w:val="auto"/>
                <w:sz w:val="24"/>
                <w:szCs w:val="24"/>
                <w:lang w:eastAsia="zh-CN"/>
              </w:rPr>
              <w:t>类型</w:t>
            </w:r>
          </w:p>
        </w:tc>
        <w:tc>
          <w:tcPr>
            <w:tcW w:w="6421" w:type="dxa"/>
            <w:tcBorders>
              <w:top w:val="single" w:color="auto" w:sz="4" w:space="0"/>
              <w:left w:val="single" w:color="auto" w:sz="4" w:space="0"/>
              <w:bottom w:val="single" w:color="auto" w:sz="4" w:space="0"/>
              <w:right w:val="single" w:color="auto" w:sz="4" w:space="0"/>
            </w:tcBorders>
            <w:noWrap/>
            <w:vAlign w:val="center"/>
          </w:tcPr>
          <w:p w14:paraId="6FB5DEF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cs="宋体"/>
                <w:b/>
                <w:bCs/>
                <w:color w:val="auto"/>
                <w:szCs w:val="21"/>
                <w:lang w:val="en-US" w:eastAsia="zh-CN"/>
              </w:rPr>
            </w:pPr>
            <w:r>
              <w:rPr>
                <w:rFonts w:hint="eastAsia" w:ascii="Times New Roman" w:hAnsi="Times New Roman" w:eastAsia="宋体" w:cs="Times New Roman"/>
                <w:b/>
                <w:bCs/>
                <w:color w:val="auto"/>
                <w:sz w:val="24"/>
                <w:szCs w:val="24"/>
                <w:lang w:eastAsia="zh-CN"/>
              </w:rPr>
              <w:t>评分标准</w:t>
            </w:r>
          </w:p>
        </w:tc>
        <w:tc>
          <w:tcPr>
            <w:tcW w:w="750" w:type="dxa"/>
            <w:tcBorders>
              <w:top w:val="single" w:color="auto" w:sz="4" w:space="0"/>
              <w:left w:val="single" w:color="auto" w:sz="4" w:space="0"/>
              <w:bottom w:val="single" w:color="auto" w:sz="4" w:space="0"/>
              <w:right w:val="single" w:color="auto" w:sz="4" w:space="0"/>
            </w:tcBorders>
            <w:noWrap/>
            <w:vAlign w:val="center"/>
          </w:tcPr>
          <w:p w14:paraId="050DDC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eastAsia="zh-CN"/>
              </w:rPr>
              <w:t>分值权重</w:t>
            </w:r>
          </w:p>
        </w:tc>
        <w:tc>
          <w:tcPr>
            <w:tcW w:w="725" w:type="dxa"/>
            <w:tcBorders>
              <w:top w:val="single" w:color="auto" w:sz="4" w:space="0"/>
              <w:left w:val="single" w:color="auto" w:sz="4" w:space="0"/>
              <w:bottom w:val="single" w:color="auto" w:sz="4" w:space="0"/>
              <w:right w:val="single" w:color="auto" w:sz="4" w:space="0"/>
            </w:tcBorders>
            <w:noWrap/>
            <w:vAlign w:val="center"/>
          </w:tcPr>
          <w:p w14:paraId="1F5223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打分方法</w:t>
            </w:r>
          </w:p>
        </w:tc>
      </w:tr>
      <w:tr w14:paraId="71C9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8" w:hRule="atLeast"/>
          <w:jc w:val="center"/>
        </w:trPr>
        <w:tc>
          <w:tcPr>
            <w:tcW w:w="924" w:type="dxa"/>
            <w:vMerge w:val="restart"/>
            <w:tcBorders>
              <w:top w:val="single" w:color="auto" w:sz="4" w:space="0"/>
              <w:left w:val="single" w:color="auto" w:sz="4" w:space="0"/>
              <w:right w:val="single" w:color="auto" w:sz="4" w:space="0"/>
            </w:tcBorders>
            <w:noWrap/>
            <w:vAlign w:val="center"/>
          </w:tcPr>
          <w:p w14:paraId="266B4AB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color w:val="auto"/>
                <w:sz w:val="24"/>
                <w:szCs w:val="24"/>
              </w:rPr>
            </w:pPr>
            <w:r>
              <w:rPr>
                <w:rFonts w:hint="eastAsia" w:ascii="宋体" w:hAnsi="宋体" w:eastAsia="宋体" w:cs="宋体"/>
                <w:color w:val="auto"/>
                <w:sz w:val="24"/>
                <w:szCs w:val="24"/>
                <w:lang w:eastAsia="zh-CN"/>
              </w:rPr>
              <w:t>技术商务部分</w:t>
            </w:r>
            <w:r>
              <w:rPr>
                <w:rFonts w:hint="eastAsia" w:ascii="宋体" w:hAnsi="宋体" w:eastAsia="宋体" w:cs="宋体"/>
                <w:color w:val="auto"/>
                <w:sz w:val="24"/>
                <w:szCs w:val="24"/>
                <w:lang w:val="en-US" w:eastAsia="zh-CN"/>
              </w:rPr>
              <w:t>F2</w:t>
            </w:r>
          </w:p>
        </w:tc>
        <w:tc>
          <w:tcPr>
            <w:tcW w:w="700" w:type="dxa"/>
            <w:tcBorders>
              <w:top w:val="single" w:color="auto" w:sz="4" w:space="0"/>
              <w:left w:val="single" w:color="auto" w:sz="4" w:space="0"/>
              <w:bottom w:val="single" w:color="auto" w:sz="4" w:space="0"/>
              <w:right w:val="single" w:color="auto" w:sz="4" w:space="0"/>
            </w:tcBorders>
            <w:noWrap/>
            <w:vAlign w:val="center"/>
          </w:tcPr>
          <w:p w14:paraId="6807CA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sz w:val="24"/>
                <w:szCs w:val="24"/>
                <w:lang w:val="en-US" w:eastAsia="zh-CN"/>
              </w:rPr>
            </w:pPr>
            <w:r>
              <w:rPr>
                <w:rFonts w:hint="eastAsia"/>
                <w:color w:val="auto"/>
                <w:sz w:val="24"/>
                <w:szCs w:val="24"/>
                <w:lang w:val="en-US" w:eastAsia="zh-CN"/>
              </w:rPr>
              <w:t>技术</w:t>
            </w:r>
          </w:p>
        </w:tc>
        <w:tc>
          <w:tcPr>
            <w:tcW w:w="6421" w:type="dxa"/>
            <w:tcBorders>
              <w:top w:val="single" w:color="auto" w:sz="4" w:space="0"/>
              <w:left w:val="single" w:color="auto" w:sz="4" w:space="0"/>
              <w:bottom w:val="single" w:color="auto" w:sz="4" w:space="0"/>
              <w:right w:val="single" w:color="auto" w:sz="4" w:space="0"/>
            </w:tcBorders>
            <w:noWrap/>
            <w:vAlign w:val="center"/>
          </w:tcPr>
          <w:p w14:paraId="05C5539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b/>
                <w:bCs/>
                <w:color w:val="auto"/>
                <w:sz w:val="24"/>
                <w:szCs w:val="24"/>
              </w:rPr>
            </w:pPr>
            <w:r>
              <w:rPr>
                <w:rFonts w:hint="eastAsia"/>
                <w:b/>
                <w:bCs/>
                <w:color w:val="auto"/>
                <w:sz w:val="24"/>
                <w:szCs w:val="24"/>
              </w:rPr>
              <w:t>技术参数响应</w:t>
            </w:r>
            <w:r>
              <w:rPr>
                <w:rFonts w:hint="eastAsia" w:ascii="宋体" w:hAnsi="宋体" w:cs="宋体"/>
                <w:b/>
                <w:bCs/>
                <w:color w:val="auto"/>
                <w:sz w:val="24"/>
                <w:szCs w:val="24"/>
              </w:rPr>
              <w:t>评分</w:t>
            </w:r>
            <w:r>
              <w:rPr>
                <w:rFonts w:hint="eastAsia"/>
                <w:b/>
                <w:bCs/>
                <w:color w:val="auto"/>
                <w:sz w:val="24"/>
                <w:szCs w:val="24"/>
              </w:rPr>
              <w:t>（满分</w:t>
            </w:r>
            <w:r>
              <w:rPr>
                <w:rFonts w:hint="eastAsia"/>
                <w:b/>
                <w:bCs/>
                <w:color w:val="auto"/>
                <w:sz w:val="24"/>
                <w:szCs w:val="24"/>
                <w:lang w:val="en-US" w:eastAsia="zh-CN"/>
              </w:rPr>
              <w:t>25</w:t>
            </w:r>
            <w:r>
              <w:rPr>
                <w:rFonts w:hint="eastAsia"/>
                <w:b/>
                <w:bCs/>
                <w:color w:val="auto"/>
                <w:sz w:val="24"/>
                <w:szCs w:val="24"/>
              </w:rPr>
              <w:t>分）</w:t>
            </w:r>
          </w:p>
          <w:p w14:paraId="57D6AF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auto"/>
                <w:sz w:val="24"/>
                <w:szCs w:val="24"/>
              </w:rPr>
            </w:pPr>
            <w:r>
              <w:rPr>
                <w:rFonts w:hint="eastAsia" w:ascii="Times New Roman" w:hAnsi="Times New Roman" w:eastAsia="宋体" w:cs="Times New Roman"/>
                <w:color w:val="auto"/>
                <w:sz w:val="24"/>
                <w:szCs w:val="24"/>
                <w:lang w:val="en-US" w:eastAsia="zh-CN"/>
              </w:rPr>
              <w:t>评审小组将综合考虑投标人所投产品的技术参数、规格要求对招标文件采购内容及技术要求的所有技术参数条款的响应程度等因素综合打分：</w:t>
            </w:r>
          </w:p>
          <w:p w14:paraId="479AA2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1.带</w:t>
            </w:r>
            <w:r>
              <w:rPr>
                <w:rFonts w:hint="eastAsia" w:ascii="宋体" w:hAnsi="宋体" w:eastAsia="宋体" w:cs="宋体"/>
                <w:color w:val="auto"/>
                <w:sz w:val="24"/>
                <w:szCs w:val="24"/>
                <w:lang w:val="en-US" w:eastAsia="zh-CN"/>
              </w:rPr>
              <w:t>“</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项重要技术指标响应（</w:t>
            </w:r>
            <w:r>
              <w:rPr>
                <w:rFonts w:hint="eastAsia" w:ascii="宋体" w:hAnsi="宋体" w:eastAsia="宋体" w:cs="宋体"/>
                <w:color w:val="auto"/>
                <w:sz w:val="24"/>
                <w:szCs w:val="24"/>
                <w:lang w:val="en-US" w:eastAsia="zh-CN"/>
              </w:rPr>
              <w:t>20</w:t>
            </w:r>
            <w:r>
              <w:rPr>
                <w:rFonts w:hint="default" w:ascii="宋体" w:hAnsi="宋体" w:eastAsia="宋体" w:cs="宋体"/>
                <w:color w:val="auto"/>
                <w:sz w:val="24"/>
                <w:szCs w:val="24"/>
                <w:lang w:val="en-US" w:eastAsia="zh-CN"/>
              </w:rPr>
              <w:t>分，完全响应或优于</w:t>
            </w:r>
            <w:r>
              <w:rPr>
                <w:rFonts w:hint="eastAsia" w:ascii="宋体" w:hAnsi="宋体" w:eastAsia="宋体" w:cs="宋体"/>
                <w:color w:val="auto"/>
                <w:sz w:val="24"/>
                <w:szCs w:val="24"/>
                <w:lang w:val="en-US" w:eastAsia="zh-CN"/>
              </w:rPr>
              <w:t>的</w:t>
            </w:r>
            <w:r>
              <w:rPr>
                <w:rFonts w:hint="default" w:ascii="宋体" w:hAnsi="宋体" w:eastAsia="宋体" w:cs="宋体"/>
                <w:color w:val="auto"/>
                <w:sz w:val="24"/>
                <w:szCs w:val="24"/>
                <w:lang w:val="en-US" w:eastAsia="zh-CN"/>
              </w:rPr>
              <w:t>得</w:t>
            </w:r>
            <w:r>
              <w:rPr>
                <w:rFonts w:hint="eastAsia" w:ascii="宋体" w:hAnsi="宋体" w:eastAsia="宋体" w:cs="宋体"/>
                <w:color w:val="auto"/>
                <w:sz w:val="24"/>
                <w:szCs w:val="24"/>
                <w:lang w:val="en-US" w:eastAsia="zh-CN"/>
              </w:rPr>
              <w:t>20</w:t>
            </w:r>
            <w:r>
              <w:rPr>
                <w:rFonts w:hint="default" w:ascii="宋体" w:hAnsi="宋体" w:eastAsia="宋体" w:cs="宋体"/>
                <w:color w:val="auto"/>
                <w:sz w:val="24"/>
                <w:szCs w:val="24"/>
                <w:lang w:val="en-US" w:eastAsia="zh-CN"/>
              </w:rPr>
              <w:t>分，每有一项不满足扣1分</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 xml:space="preserve">扣完为止）。 </w:t>
            </w:r>
          </w:p>
          <w:p w14:paraId="195AF7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2.未带</w:t>
            </w:r>
            <w:r>
              <w:rPr>
                <w:rFonts w:hint="eastAsia" w:ascii="宋体" w:hAnsi="宋体" w:eastAsia="宋体" w:cs="宋体"/>
                <w:color w:val="auto"/>
                <w:sz w:val="24"/>
                <w:szCs w:val="24"/>
                <w:lang w:val="en-US" w:eastAsia="zh-CN"/>
              </w:rPr>
              <w:t>“</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项一般技术指标响应（</w:t>
            </w:r>
            <w:r>
              <w:rPr>
                <w:rFonts w:hint="eastAsia" w:ascii="宋体" w:hAnsi="宋体" w:eastAsia="宋体" w:cs="宋体"/>
                <w:color w:val="auto"/>
                <w:sz w:val="24"/>
                <w:szCs w:val="24"/>
                <w:lang w:val="en-US" w:eastAsia="zh-CN"/>
              </w:rPr>
              <w:t>5</w:t>
            </w:r>
            <w:r>
              <w:rPr>
                <w:rFonts w:hint="default" w:ascii="宋体" w:hAnsi="宋体" w:eastAsia="宋体" w:cs="宋体"/>
                <w:color w:val="auto"/>
                <w:sz w:val="24"/>
                <w:szCs w:val="24"/>
                <w:lang w:val="en-US" w:eastAsia="zh-CN"/>
              </w:rPr>
              <w:t>分，完全响应或优于</w:t>
            </w:r>
            <w:r>
              <w:rPr>
                <w:rFonts w:hint="eastAsia" w:ascii="宋体" w:hAnsi="宋体" w:eastAsia="宋体" w:cs="宋体"/>
                <w:color w:val="auto"/>
                <w:sz w:val="24"/>
                <w:szCs w:val="24"/>
                <w:lang w:val="en-US" w:eastAsia="zh-CN"/>
              </w:rPr>
              <w:t>的</w:t>
            </w:r>
            <w:r>
              <w:rPr>
                <w:rFonts w:hint="default" w:ascii="宋体" w:hAnsi="宋体" w:eastAsia="宋体" w:cs="宋体"/>
                <w:color w:val="auto"/>
                <w:sz w:val="24"/>
                <w:szCs w:val="24"/>
                <w:lang w:val="en-US" w:eastAsia="zh-CN"/>
              </w:rPr>
              <w:t>得</w:t>
            </w:r>
            <w:r>
              <w:rPr>
                <w:rFonts w:hint="eastAsia" w:ascii="宋体" w:hAnsi="宋体" w:eastAsia="宋体" w:cs="宋体"/>
                <w:color w:val="auto"/>
                <w:sz w:val="24"/>
                <w:szCs w:val="24"/>
                <w:lang w:val="en-US" w:eastAsia="zh-CN"/>
              </w:rPr>
              <w:t>5</w:t>
            </w:r>
            <w:r>
              <w:rPr>
                <w:rFonts w:hint="default" w:ascii="宋体" w:hAnsi="宋体" w:eastAsia="宋体" w:cs="宋体"/>
                <w:color w:val="auto"/>
                <w:sz w:val="24"/>
                <w:szCs w:val="24"/>
                <w:lang w:val="en-US" w:eastAsia="zh-CN"/>
              </w:rPr>
              <w:t>分，每有一项要求不满足扣</w:t>
            </w:r>
            <w:r>
              <w:rPr>
                <w:rFonts w:hint="eastAsia" w:ascii="宋体" w:hAnsi="宋体" w:eastAsia="宋体" w:cs="宋体"/>
                <w:color w:val="auto"/>
                <w:sz w:val="24"/>
                <w:szCs w:val="24"/>
                <w:lang w:val="en-US" w:eastAsia="zh-CN"/>
              </w:rPr>
              <w:t>0.5</w:t>
            </w:r>
            <w:r>
              <w:rPr>
                <w:rFonts w:hint="default" w:ascii="宋体" w:hAnsi="宋体" w:eastAsia="宋体" w:cs="宋体"/>
                <w:color w:val="auto"/>
                <w:sz w:val="24"/>
                <w:szCs w:val="24"/>
                <w:lang w:val="en-US" w:eastAsia="zh-CN"/>
              </w:rPr>
              <w:t>分，扣完为止</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 xml:space="preserve">。 </w:t>
            </w:r>
          </w:p>
          <w:p w14:paraId="79247F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要求：①带“</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color w:val="auto"/>
                <w:sz w:val="24"/>
                <w:szCs w:val="24"/>
                <w:lang w:val="en-US" w:eastAsia="zh-CN"/>
              </w:rPr>
              <w:t>”条款为主要技术参数及重要指标要求投标人必须</w:t>
            </w:r>
            <w:r>
              <w:rPr>
                <w:rFonts w:hint="eastAsia" w:ascii="宋体" w:hAnsi="宋体" w:eastAsia="宋体" w:cs="宋体"/>
                <w:b/>
                <w:bCs/>
                <w:color w:val="auto"/>
                <w:sz w:val="24"/>
                <w:szCs w:val="24"/>
                <w:lang w:val="en-US" w:eastAsia="zh-CN"/>
              </w:rPr>
              <w:t>提供主要技术参数及重要指标的技术支撑材料，技术支撑材料包含但不限于：检验报告</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val="en-US" w:eastAsia="zh-CN"/>
              </w:rPr>
              <w:t>认证证书</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val="en-US" w:eastAsia="zh-CN"/>
              </w:rPr>
              <w:t>制造厂商发布的最新技术资料彩页</w:t>
            </w:r>
            <w:r>
              <w:rPr>
                <w:rFonts w:hint="eastAsia" w:ascii="宋体" w:hAnsi="宋体" w:cs="宋体"/>
                <w:b/>
                <w:bCs/>
                <w:color w:val="auto"/>
                <w:sz w:val="24"/>
                <w:szCs w:val="24"/>
                <w:lang w:val="en-US" w:eastAsia="zh-CN"/>
              </w:rPr>
              <w:t>或</w:t>
            </w:r>
            <w:r>
              <w:rPr>
                <w:rFonts w:hint="eastAsia" w:ascii="宋体" w:hAnsi="宋体" w:eastAsia="宋体" w:cs="宋体"/>
                <w:b/>
                <w:bCs/>
                <w:color w:val="auto"/>
                <w:sz w:val="24"/>
                <w:szCs w:val="24"/>
                <w:lang w:val="en-US" w:eastAsia="zh-CN"/>
              </w:rPr>
              <w:t>官网链接及截图等，若主要技术参数及重要指标的“技术偏离表”承诺为“无偏离”但没有提供“主要技术指标和性能的证明材料”的将不予认可；提供的证明材料经评标委员会评审后认为不足以支撑满足采购需求的，不予认可；不实质性响应或虚假应答（如负偏离应答为无偏离）一经查实，则直接废标。虚假应标中标的，一经查实按相关法律法规处理，并承担相应后果。</w:t>
            </w:r>
          </w:p>
          <w:p w14:paraId="10F91E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rPr>
            </w:pPr>
            <w:r>
              <w:rPr>
                <w:rFonts w:hint="eastAsia" w:ascii="宋体" w:hAnsi="宋体" w:eastAsia="宋体" w:cs="宋体"/>
                <w:color w:val="auto"/>
                <w:sz w:val="24"/>
                <w:szCs w:val="24"/>
                <w:lang w:val="en-US" w:eastAsia="zh-CN"/>
              </w:rPr>
              <w:t>②其余为一般技术参数评标委员会评审的依据为“技术偏离表”，承诺为“无偏离”，但经评标委员会认定实际填报技术参数指标与招标需求负偏离的不予认可，投标人应如实填报所投产品信息，并对填报信息真实性承担相应的法律责任。</w:t>
            </w:r>
          </w:p>
        </w:tc>
        <w:tc>
          <w:tcPr>
            <w:tcW w:w="750" w:type="dxa"/>
            <w:tcBorders>
              <w:top w:val="single" w:color="auto" w:sz="4" w:space="0"/>
              <w:left w:val="single" w:color="auto" w:sz="4" w:space="0"/>
              <w:bottom w:val="single" w:color="auto" w:sz="4" w:space="0"/>
              <w:right w:val="single" w:color="auto" w:sz="4" w:space="0"/>
            </w:tcBorders>
            <w:noWrap/>
            <w:vAlign w:val="center"/>
          </w:tcPr>
          <w:p w14:paraId="5DC58D9D">
            <w:pPr>
              <w:keepNext w:val="0"/>
              <w:keepLines w:val="0"/>
              <w:pageBreakBefore w:val="0"/>
              <w:kinsoku/>
              <w:wordWrap/>
              <w:overflowPunct/>
              <w:topLinePunct w:val="0"/>
              <w:autoSpaceDE/>
              <w:autoSpaceDN/>
              <w:bidi w:val="0"/>
              <w:spacing w:line="360" w:lineRule="auto"/>
              <w:jc w:val="center"/>
              <w:textAlignment w:val="auto"/>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5</w:t>
            </w:r>
          </w:p>
        </w:tc>
        <w:tc>
          <w:tcPr>
            <w:tcW w:w="725" w:type="dxa"/>
            <w:tcBorders>
              <w:top w:val="single" w:color="auto" w:sz="4" w:space="0"/>
              <w:left w:val="single" w:color="auto" w:sz="4" w:space="0"/>
              <w:bottom w:val="single" w:color="auto" w:sz="4" w:space="0"/>
              <w:right w:val="single" w:color="auto" w:sz="4" w:space="0"/>
            </w:tcBorders>
            <w:noWrap/>
            <w:vAlign w:val="center"/>
          </w:tcPr>
          <w:p w14:paraId="6586C347">
            <w:pPr>
              <w:keepNext w:val="0"/>
              <w:keepLines w:val="0"/>
              <w:pageBreakBefore w:val="0"/>
              <w:kinsoku/>
              <w:wordWrap/>
              <w:overflowPunct/>
              <w:topLinePunct w:val="0"/>
              <w:autoSpaceDE/>
              <w:autoSpaceDN/>
              <w:bidi w:val="0"/>
              <w:spacing w:line="360" w:lineRule="auto"/>
              <w:jc w:val="center"/>
              <w:textAlignment w:val="auto"/>
              <w:rPr>
                <w:rFonts w:hint="eastAsia"/>
                <w:color w:val="auto"/>
                <w:sz w:val="24"/>
                <w:szCs w:val="24"/>
                <w:lang w:val="en-US" w:eastAsia="zh-CN"/>
              </w:rPr>
            </w:pPr>
            <w:r>
              <w:rPr>
                <w:rFonts w:hint="eastAsia" w:ascii="宋体" w:hAnsi="宋体" w:eastAsia="宋体" w:cs="宋体"/>
                <w:b/>
                <w:color w:val="auto"/>
                <w:sz w:val="24"/>
                <w:szCs w:val="24"/>
                <w:lang w:val="en-US" w:eastAsia="zh-CN"/>
              </w:rPr>
              <w:t>客观</w:t>
            </w:r>
          </w:p>
        </w:tc>
      </w:tr>
      <w:tr w14:paraId="27B0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8" w:hRule="atLeast"/>
          <w:jc w:val="center"/>
        </w:trPr>
        <w:tc>
          <w:tcPr>
            <w:tcW w:w="924" w:type="dxa"/>
            <w:vMerge w:val="continue"/>
            <w:tcBorders>
              <w:left w:val="single" w:color="auto" w:sz="4" w:space="0"/>
              <w:right w:val="single" w:color="auto" w:sz="4" w:space="0"/>
            </w:tcBorders>
            <w:noWrap/>
            <w:vAlign w:val="center"/>
          </w:tcPr>
          <w:p w14:paraId="512F636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lang w:eastAsia="zh-CN"/>
              </w:rPr>
            </w:pPr>
          </w:p>
        </w:tc>
        <w:tc>
          <w:tcPr>
            <w:tcW w:w="700" w:type="dxa"/>
            <w:tcBorders>
              <w:top w:val="single" w:color="auto" w:sz="4" w:space="0"/>
              <w:left w:val="single" w:color="auto" w:sz="4" w:space="0"/>
              <w:bottom w:val="single" w:color="auto" w:sz="4" w:space="0"/>
              <w:right w:val="single" w:color="auto" w:sz="4" w:space="0"/>
            </w:tcBorders>
            <w:noWrap/>
            <w:vAlign w:val="center"/>
          </w:tcPr>
          <w:p w14:paraId="425FB0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sz w:val="24"/>
                <w:szCs w:val="24"/>
                <w:lang w:val="en-US" w:eastAsia="zh-CN"/>
              </w:rPr>
            </w:pPr>
            <w:r>
              <w:rPr>
                <w:rFonts w:hint="eastAsia" w:ascii="宋体" w:hAnsi="宋体" w:eastAsia="宋体" w:cs="宋体"/>
                <w:color w:val="auto"/>
                <w:sz w:val="24"/>
                <w:szCs w:val="24"/>
                <w:lang w:eastAsia="zh-CN"/>
              </w:rPr>
              <w:t>商务</w:t>
            </w:r>
          </w:p>
        </w:tc>
        <w:tc>
          <w:tcPr>
            <w:tcW w:w="6421" w:type="dxa"/>
            <w:tcBorders>
              <w:top w:val="single" w:color="auto" w:sz="4" w:space="0"/>
              <w:left w:val="single" w:color="auto" w:sz="4" w:space="0"/>
              <w:bottom w:val="single" w:color="auto" w:sz="4" w:space="0"/>
              <w:right w:val="single" w:color="auto" w:sz="4" w:space="0"/>
            </w:tcBorders>
            <w:noWrap/>
            <w:vAlign w:val="center"/>
          </w:tcPr>
          <w:p w14:paraId="2E716A1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售后服务承诺评分（满分</w:t>
            </w:r>
            <w:r>
              <w:rPr>
                <w:rFonts w:hint="eastAsia" w:ascii="宋体" w:hAnsi="宋体" w:eastAsia="宋体" w:cs="宋体"/>
                <w:b/>
                <w:bCs/>
                <w:color w:val="auto"/>
                <w:sz w:val="24"/>
                <w:szCs w:val="24"/>
                <w:lang w:val="en-US" w:eastAsia="zh-CN"/>
              </w:rPr>
              <w:t>16</w:t>
            </w:r>
            <w:r>
              <w:rPr>
                <w:rFonts w:hint="eastAsia" w:ascii="宋体" w:hAnsi="宋体" w:eastAsia="宋体" w:cs="宋体"/>
                <w:b/>
                <w:bCs/>
                <w:color w:val="auto"/>
                <w:sz w:val="24"/>
                <w:szCs w:val="24"/>
              </w:rPr>
              <w:t>分）</w:t>
            </w:r>
          </w:p>
          <w:p w14:paraId="7B27DB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对供应商提供的售后服务方案进行打分，内容应包括：1.售后服务方案、2.售后服务承诺及违约责任承诺、3.运维保障服务、 4.响应时间及到现场时间、5.对突发性故障问题的应急处理预案、6.售后技术服务团队专业人员配备、7.保证措施(包括质保期内、质保期外的服务方式和措施，应急响应时间及应急措施)、 8.售后服务的期限和优惠承诺； </w:t>
            </w:r>
          </w:p>
          <w:p w14:paraId="7A5DC2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以上8项方案内容齐全且符合本项目要求的得16分。每缺少一项内容的扣2分，每有一处有缺陷不合理或有漏洞不利于项目开展实施的扣1分，本项分值扣完为止。</w:t>
            </w:r>
          </w:p>
          <w:p w14:paraId="1B6D93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rPr>
            </w:pPr>
            <w:r>
              <w:rPr>
                <w:rFonts w:hint="eastAsia" w:ascii="宋体" w:hAnsi="宋体" w:eastAsia="宋体" w:cs="宋体"/>
                <w:color w:val="auto"/>
                <w:sz w:val="24"/>
                <w:szCs w:val="24"/>
                <w:lang w:val="en-US" w:eastAsia="zh-CN"/>
              </w:rPr>
              <w:t>注：缺陷不合理或漏洞不利于项目实施，是指：凭空编造、逻辑漏洞或错误、科学原理错误、虽有内容但描述不完整、编写的内容和标准与本项目采购需求和特点不相关或与要求不一致、文字表述、技术描述、引用、图表制作有明显错误、对同一问题前后表述矛盾、存在逻辑漏洞、常识错误、不利于本项目目标的实现、现有技术条件下不可能出现、没有可行性、任意一种情形、内容简略、不满足项目采购需求、不可能实现的夸大情形等。</w:t>
            </w:r>
          </w:p>
        </w:tc>
        <w:tc>
          <w:tcPr>
            <w:tcW w:w="750" w:type="dxa"/>
            <w:tcBorders>
              <w:top w:val="single" w:color="auto" w:sz="4" w:space="0"/>
              <w:left w:val="single" w:color="auto" w:sz="4" w:space="0"/>
              <w:bottom w:val="single" w:color="auto" w:sz="4" w:space="0"/>
              <w:right w:val="single" w:color="auto" w:sz="4" w:space="0"/>
            </w:tcBorders>
            <w:noWrap/>
            <w:vAlign w:val="center"/>
          </w:tcPr>
          <w:p w14:paraId="030EF49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16</w:t>
            </w:r>
          </w:p>
        </w:tc>
        <w:tc>
          <w:tcPr>
            <w:tcW w:w="725" w:type="dxa"/>
            <w:tcBorders>
              <w:top w:val="single" w:color="auto" w:sz="4" w:space="0"/>
              <w:left w:val="single" w:color="auto" w:sz="4" w:space="0"/>
              <w:bottom w:val="single" w:color="auto" w:sz="4" w:space="0"/>
              <w:right w:val="single" w:color="auto" w:sz="4" w:space="0"/>
            </w:tcBorders>
            <w:noWrap/>
            <w:vAlign w:val="center"/>
          </w:tcPr>
          <w:p w14:paraId="3C34D92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主观</w:t>
            </w:r>
          </w:p>
        </w:tc>
      </w:tr>
      <w:tr w14:paraId="25DE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8" w:hRule="atLeast"/>
          <w:jc w:val="center"/>
        </w:trPr>
        <w:tc>
          <w:tcPr>
            <w:tcW w:w="924" w:type="dxa"/>
            <w:vMerge w:val="continue"/>
            <w:tcBorders>
              <w:left w:val="single" w:color="auto" w:sz="4" w:space="0"/>
              <w:right w:val="single" w:color="auto" w:sz="4" w:space="0"/>
            </w:tcBorders>
            <w:noWrap/>
            <w:vAlign w:val="center"/>
          </w:tcPr>
          <w:p w14:paraId="4D3E5BC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lang w:eastAsia="zh-CN"/>
              </w:rPr>
            </w:pPr>
          </w:p>
        </w:tc>
        <w:tc>
          <w:tcPr>
            <w:tcW w:w="700" w:type="dxa"/>
            <w:tcBorders>
              <w:top w:val="single" w:color="auto" w:sz="4" w:space="0"/>
              <w:left w:val="single" w:color="auto" w:sz="4" w:space="0"/>
              <w:bottom w:val="single" w:color="auto" w:sz="4" w:space="0"/>
              <w:right w:val="single" w:color="auto" w:sz="4" w:space="0"/>
            </w:tcBorders>
            <w:noWrap/>
            <w:vAlign w:val="center"/>
          </w:tcPr>
          <w:p w14:paraId="77F409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技术</w:t>
            </w:r>
          </w:p>
        </w:tc>
        <w:tc>
          <w:tcPr>
            <w:tcW w:w="6421" w:type="dxa"/>
            <w:tcBorders>
              <w:top w:val="single" w:color="auto" w:sz="4" w:space="0"/>
              <w:left w:val="single" w:color="auto" w:sz="4" w:space="0"/>
              <w:bottom w:val="single" w:color="auto" w:sz="4" w:space="0"/>
              <w:right w:val="single" w:color="auto" w:sz="4" w:space="0"/>
            </w:tcBorders>
            <w:noWrap/>
            <w:vAlign w:val="center"/>
          </w:tcPr>
          <w:p w14:paraId="56E8AB56">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项目</w:t>
            </w:r>
            <w:r>
              <w:rPr>
                <w:rFonts w:hint="eastAsia" w:ascii="宋体" w:hAnsi="宋体" w:eastAsia="宋体" w:cs="宋体"/>
                <w:b/>
                <w:bCs/>
                <w:color w:val="auto"/>
                <w:sz w:val="24"/>
                <w:szCs w:val="24"/>
                <w:lang w:val="en-US" w:eastAsia="zh-CN"/>
              </w:rPr>
              <w:t>实施</w:t>
            </w:r>
            <w:r>
              <w:rPr>
                <w:rFonts w:hint="eastAsia" w:ascii="宋体" w:hAnsi="宋体" w:eastAsia="宋体" w:cs="宋体"/>
                <w:b/>
                <w:bCs/>
                <w:color w:val="auto"/>
                <w:sz w:val="24"/>
                <w:szCs w:val="24"/>
              </w:rPr>
              <w:t>方案</w:t>
            </w:r>
            <w:r>
              <w:rPr>
                <w:rFonts w:hint="eastAsia" w:ascii="宋体" w:hAnsi="宋体" w:cs="宋体"/>
                <w:b/>
                <w:bCs/>
                <w:color w:val="auto"/>
                <w:sz w:val="24"/>
                <w:szCs w:val="24"/>
              </w:rPr>
              <w:t>评分</w:t>
            </w:r>
            <w:r>
              <w:rPr>
                <w:rFonts w:hint="eastAsia" w:ascii="宋体" w:hAnsi="宋体" w:eastAsia="宋体" w:cs="宋体"/>
                <w:b/>
                <w:bCs/>
                <w:color w:val="auto"/>
                <w:sz w:val="24"/>
                <w:szCs w:val="24"/>
              </w:rPr>
              <w:t>（满分</w:t>
            </w:r>
            <w:r>
              <w:rPr>
                <w:rFonts w:hint="eastAsia" w:ascii="宋体" w:hAnsi="宋体" w:eastAsia="宋体" w:cs="宋体"/>
                <w:b/>
                <w:bCs/>
                <w:color w:val="auto"/>
                <w:sz w:val="24"/>
                <w:szCs w:val="24"/>
                <w:lang w:val="en-US" w:eastAsia="zh-CN"/>
              </w:rPr>
              <w:t>15</w:t>
            </w:r>
            <w:r>
              <w:rPr>
                <w:rFonts w:hint="eastAsia" w:ascii="宋体" w:hAnsi="宋体" w:eastAsia="宋体" w:cs="宋体"/>
                <w:b/>
                <w:bCs/>
                <w:color w:val="auto"/>
                <w:sz w:val="24"/>
                <w:szCs w:val="24"/>
              </w:rPr>
              <w:t>分）</w:t>
            </w:r>
          </w:p>
          <w:p w14:paraId="0BE5F95F">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根据供应商针对本项目提供的项目实施方案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内容应包括：1.</w:t>
            </w:r>
            <w:r>
              <w:rPr>
                <w:rFonts w:hint="eastAsia" w:ascii="宋体" w:hAnsi="宋体" w:eastAsia="宋体" w:cs="宋体"/>
                <w:color w:val="auto"/>
                <w:sz w:val="24"/>
                <w:szCs w:val="24"/>
              </w:rPr>
              <w:t>供货</w:t>
            </w:r>
            <w:r>
              <w:rPr>
                <w:rFonts w:hint="eastAsia" w:ascii="宋体" w:hAnsi="宋体" w:eastAsia="宋体" w:cs="宋体"/>
                <w:color w:val="auto"/>
                <w:sz w:val="24"/>
                <w:szCs w:val="24"/>
                <w:lang w:val="en-US" w:eastAsia="zh-CN"/>
              </w:rPr>
              <w:t>计划</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进度安排</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运输及保障方案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安装实施</w:t>
            </w:r>
            <w:r>
              <w:rPr>
                <w:rFonts w:hint="eastAsia" w:ascii="宋体" w:hAnsi="宋体" w:eastAsia="宋体" w:cs="宋体"/>
                <w:color w:val="auto"/>
                <w:sz w:val="24"/>
                <w:szCs w:val="24"/>
              </w:rPr>
              <w:t>方案、</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质量保障措施</w:t>
            </w:r>
            <w:r>
              <w:rPr>
                <w:rFonts w:hint="eastAsia" w:ascii="宋体" w:hAnsi="宋体" w:eastAsia="宋体" w:cs="宋体"/>
                <w:color w:val="auto"/>
                <w:sz w:val="24"/>
                <w:szCs w:val="24"/>
                <w:lang w:val="en-US" w:eastAsia="zh-CN"/>
              </w:rPr>
              <w:t>及质量违约责任承诺</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应急保障方案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这5部分内容）进行评审,方案各部分内容全面详细、备货安排、进度符合项目要求，配送运输装卸计划详细、供货安全、产品质量保障措施全面、</w:t>
            </w:r>
            <w:r>
              <w:rPr>
                <w:rFonts w:hint="eastAsia" w:ascii="宋体" w:hAnsi="宋体" w:eastAsia="宋体" w:cs="宋体"/>
                <w:color w:val="auto"/>
                <w:sz w:val="24"/>
                <w:szCs w:val="24"/>
                <w:lang w:eastAsia="zh-CN"/>
              </w:rPr>
              <w:t>产品设备性能证明材料齐全</w:t>
            </w:r>
            <w:r>
              <w:rPr>
                <w:rFonts w:hint="eastAsia" w:ascii="宋体" w:hAnsi="宋体" w:eastAsia="宋体" w:cs="宋体"/>
                <w:color w:val="auto"/>
                <w:sz w:val="24"/>
                <w:szCs w:val="24"/>
              </w:rPr>
              <w:t>、应急预案全面，</w:t>
            </w:r>
            <w:r>
              <w:rPr>
                <w:rFonts w:hint="eastAsia" w:ascii="宋体" w:hAnsi="宋体" w:eastAsia="宋体" w:cs="宋体"/>
                <w:color w:val="auto"/>
                <w:sz w:val="24"/>
                <w:szCs w:val="24"/>
                <w:lang w:eastAsia="zh-CN"/>
              </w:rPr>
              <w:t>安装实施</w:t>
            </w:r>
            <w:r>
              <w:rPr>
                <w:rFonts w:hint="eastAsia" w:ascii="宋体" w:hAnsi="宋体" w:eastAsia="宋体" w:cs="宋体"/>
                <w:color w:val="auto"/>
                <w:sz w:val="24"/>
                <w:szCs w:val="24"/>
              </w:rPr>
              <w:t>方案各部分阐述条理清晰详尽、具体实施细节明确，与本项目相关要求紧密结合，有利于促进本项目顺利实施完成的得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分，此基础上每有一部分缺项、漏项</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rPr>
              <w:t>扣</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分，每有一处有不足或缺陷的扣</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分，本项分值扣完为止。</w:t>
            </w:r>
          </w:p>
          <w:p w14:paraId="3F9328A4">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 注：1.不</w:t>
            </w:r>
            <w:r>
              <w:rPr>
                <w:rFonts w:hint="eastAsia" w:ascii="宋体" w:hAnsi="宋体" w:eastAsia="宋体" w:cs="宋体"/>
                <w:color w:val="auto"/>
                <w:sz w:val="24"/>
                <w:szCs w:val="24"/>
                <w:lang w:val="en-US" w:eastAsia="zh-CN"/>
              </w:rPr>
              <w:t>足</w:t>
            </w:r>
            <w:r>
              <w:rPr>
                <w:rFonts w:hint="eastAsia" w:ascii="宋体" w:hAnsi="宋体" w:eastAsia="宋体" w:cs="宋体"/>
                <w:color w:val="auto"/>
                <w:sz w:val="24"/>
                <w:szCs w:val="24"/>
              </w:rPr>
              <w:t>具体是指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对应小项内容缺失、虽有内容但描述不完整、方案不能满足项目要求的。2.缺陷具体是指对应小项方案与实际情况不符、出现套用其他项目方案和内容、出现前后不一致现象、涉及的规范及标准出现错误、实施地点区域错误、漏洞不利于项目实施、凭空编造、逻辑漏洞或错误、科学原理错误、编写的内容和标准与本项目采购需求和特点不相关或与要求不一致、夸大情形等任意一种情形</w:t>
            </w:r>
            <w:r>
              <w:rPr>
                <w:rFonts w:hint="eastAsia" w:ascii="宋体" w:hAnsi="宋体" w:eastAsia="宋体" w:cs="宋体"/>
                <w:color w:val="auto"/>
                <w:sz w:val="24"/>
                <w:szCs w:val="24"/>
                <w:lang w:eastAsia="zh-CN"/>
              </w:rPr>
              <w:t>。</w:t>
            </w:r>
          </w:p>
        </w:tc>
        <w:tc>
          <w:tcPr>
            <w:tcW w:w="750" w:type="dxa"/>
            <w:tcBorders>
              <w:top w:val="single" w:color="auto" w:sz="4" w:space="0"/>
              <w:left w:val="single" w:color="auto" w:sz="4" w:space="0"/>
              <w:bottom w:val="single" w:color="auto" w:sz="4" w:space="0"/>
              <w:right w:val="single" w:color="auto" w:sz="4" w:space="0"/>
            </w:tcBorders>
            <w:noWrap/>
            <w:vAlign w:val="center"/>
          </w:tcPr>
          <w:p w14:paraId="21061E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15</w:t>
            </w:r>
          </w:p>
        </w:tc>
        <w:tc>
          <w:tcPr>
            <w:tcW w:w="725" w:type="dxa"/>
            <w:tcBorders>
              <w:top w:val="single" w:color="auto" w:sz="4" w:space="0"/>
              <w:left w:val="single" w:color="auto" w:sz="4" w:space="0"/>
              <w:bottom w:val="single" w:color="auto" w:sz="4" w:space="0"/>
              <w:right w:val="single" w:color="auto" w:sz="4" w:space="0"/>
            </w:tcBorders>
            <w:noWrap/>
            <w:vAlign w:val="center"/>
          </w:tcPr>
          <w:p w14:paraId="37F72F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主观</w:t>
            </w:r>
          </w:p>
        </w:tc>
      </w:tr>
      <w:tr w14:paraId="5484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8" w:hRule="atLeast"/>
          <w:jc w:val="center"/>
        </w:trPr>
        <w:tc>
          <w:tcPr>
            <w:tcW w:w="924" w:type="dxa"/>
            <w:vMerge w:val="continue"/>
            <w:tcBorders>
              <w:left w:val="single" w:color="auto" w:sz="4" w:space="0"/>
              <w:right w:val="single" w:color="auto" w:sz="4" w:space="0"/>
            </w:tcBorders>
            <w:noWrap/>
            <w:vAlign w:val="center"/>
          </w:tcPr>
          <w:p w14:paraId="7DC949E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lang w:eastAsia="zh-CN"/>
              </w:rPr>
            </w:pPr>
          </w:p>
        </w:tc>
        <w:tc>
          <w:tcPr>
            <w:tcW w:w="700" w:type="dxa"/>
            <w:tcBorders>
              <w:top w:val="single" w:color="auto" w:sz="4" w:space="0"/>
              <w:left w:val="single" w:color="auto" w:sz="4" w:space="0"/>
              <w:bottom w:val="single" w:color="auto" w:sz="4" w:space="0"/>
              <w:right w:val="single" w:color="auto" w:sz="4" w:space="0"/>
            </w:tcBorders>
            <w:noWrap/>
            <w:vAlign w:val="center"/>
          </w:tcPr>
          <w:p w14:paraId="2349D3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技术</w:t>
            </w:r>
          </w:p>
        </w:tc>
        <w:tc>
          <w:tcPr>
            <w:tcW w:w="6421" w:type="dxa"/>
            <w:tcBorders>
              <w:top w:val="single" w:color="auto" w:sz="4" w:space="0"/>
              <w:left w:val="single" w:color="auto" w:sz="4" w:space="0"/>
              <w:bottom w:val="single" w:color="auto" w:sz="4" w:space="0"/>
              <w:right w:val="single" w:color="auto" w:sz="4" w:space="0"/>
            </w:tcBorders>
            <w:noWrap/>
            <w:vAlign w:val="center"/>
          </w:tcPr>
          <w:p w14:paraId="0108845E">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cs="宋体"/>
                <w:b/>
                <w:bCs/>
                <w:color w:val="auto"/>
                <w:kern w:val="0"/>
                <w:sz w:val="24"/>
                <w:szCs w:val="24"/>
              </w:rPr>
              <w:t>培训方案</w:t>
            </w:r>
            <w:r>
              <w:rPr>
                <w:rFonts w:hint="eastAsia" w:ascii="宋体" w:hAnsi="宋体" w:eastAsia="宋体" w:cs="宋体"/>
                <w:b/>
                <w:bCs/>
                <w:color w:val="auto"/>
                <w:sz w:val="24"/>
                <w:szCs w:val="24"/>
              </w:rPr>
              <w:t>评分</w:t>
            </w:r>
            <w:r>
              <w:rPr>
                <w:rFonts w:hint="eastAsia" w:ascii="宋体" w:hAnsi="宋体" w:cs="宋体"/>
                <w:b/>
                <w:bCs/>
                <w:color w:val="auto"/>
                <w:kern w:val="0"/>
                <w:sz w:val="24"/>
                <w:szCs w:val="24"/>
              </w:rPr>
              <w:t>（满分</w:t>
            </w:r>
            <w:r>
              <w:rPr>
                <w:rFonts w:hint="eastAsia" w:ascii="宋体" w:hAnsi="宋体" w:cs="宋体"/>
                <w:b/>
                <w:bCs/>
                <w:color w:val="auto"/>
                <w:kern w:val="0"/>
                <w:sz w:val="24"/>
                <w:szCs w:val="24"/>
                <w:lang w:val="en-US" w:eastAsia="zh-CN"/>
              </w:rPr>
              <w:t>10</w:t>
            </w:r>
            <w:r>
              <w:rPr>
                <w:rFonts w:hint="eastAsia" w:ascii="宋体" w:hAnsi="宋体" w:cs="宋体"/>
                <w:b/>
                <w:bCs/>
                <w:color w:val="auto"/>
                <w:kern w:val="0"/>
                <w:sz w:val="24"/>
                <w:szCs w:val="24"/>
              </w:rPr>
              <w:t>分）</w:t>
            </w:r>
          </w:p>
          <w:p w14:paraId="1E037C04">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对供应商提供的培训方案进行打分，内容应包括：1.培训方式、2.培训内容、3.培训计划、4.培训能力、5.保障措施；</w:t>
            </w:r>
          </w:p>
          <w:p w14:paraId="346739FB">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以上5项方案内容齐全且符合本项目要求的得10分。每缺少一项内容的扣2分，每有一处有缺陷不合理或有漏洞不利于项目开展实施的扣1分，本项分值扣完为止。</w:t>
            </w:r>
          </w:p>
          <w:p w14:paraId="7DF0BA0A">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注：缺陷不合理或漏洞不利于项目实施，是指：凭空编造、逻辑漏洞或错误、科学原理错误、虽有内容但描述不完整、编写的内容和标准与本项目采购需求和特点不相关或与要求不一致、文字表述、技术描述、引用、图表制作有明显错误、对同一问题前后表述矛盾、存在逻辑漏洞、常识错误、不利于本项目目标的实现、现有技术条件下不可能出现、没有可行性、任意一种情形、内容简略、不满足项目采购需求、不可能实现的夸大情形等。</w:t>
            </w:r>
          </w:p>
        </w:tc>
        <w:tc>
          <w:tcPr>
            <w:tcW w:w="750" w:type="dxa"/>
            <w:tcBorders>
              <w:top w:val="single" w:color="auto" w:sz="4" w:space="0"/>
              <w:left w:val="single" w:color="auto" w:sz="4" w:space="0"/>
              <w:bottom w:val="single" w:color="auto" w:sz="4" w:space="0"/>
              <w:right w:val="single" w:color="auto" w:sz="4" w:space="0"/>
            </w:tcBorders>
            <w:noWrap/>
            <w:vAlign w:val="center"/>
          </w:tcPr>
          <w:p w14:paraId="375FF5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10</w:t>
            </w:r>
          </w:p>
        </w:tc>
        <w:tc>
          <w:tcPr>
            <w:tcW w:w="725" w:type="dxa"/>
            <w:tcBorders>
              <w:top w:val="single" w:color="auto" w:sz="4" w:space="0"/>
              <w:left w:val="single" w:color="auto" w:sz="4" w:space="0"/>
              <w:bottom w:val="single" w:color="auto" w:sz="4" w:space="0"/>
              <w:right w:val="single" w:color="auto" w:sz="4" w:space="0"/>
            </w:tcBorders>
            <w:noWrap/>
            <w:vAlign w:val="center"/>
          </w:tcPr>
          <w:p w14:paraId="44C8A1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主观</w:t>
            </w:r>
          </w:p>
        </w:tc>
      </w:tr>
      <w:tr w14:paraId="1756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8" w:hRule="atLeast"/>
          <w:jc w:val="center"/>
        </w:trPr>
        <w:tc>
          <w:tcPr>
            <w:tcW w:w="924" w:type="dxa"/>
            <w:tcBorders>
              <w:left w:val="single" w:color="auto" w:sz="4" w:space="0"/>
              <w:right w:val="single" w:color="auto" w:sz="4" w:space="0"/>
            </w:tcBorders>
            <w:noWrap/>
            <w:vAlign w:val="center"/>
          </w:tcPr>
          <w:p w14:paraId="1A8BF6E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4"/>
                <w:szCs w:val="24"/>
                <w:lang w:eastAsia="zh-CN"/>
              </w:rPr>
            </w:pPr>
          </w:p>
        </w:tc>
        <w:tc>
          <w:tcPr>
            <w:tcW w:w="700" w:type="dxa"/>
            <w:tcBorders>
              <w:top w:val="single" w:color="auto" w:sz="4" w:space="0"/>
              <w:left w:val="single" w:color="auto" w:sz="4" w:space="0"/>
              <w:bottom w:val="single" w:color="auto" w:sz="4" w:space="0"/>
              <w:right w:val="single" w:color="auto" w:sz="4" w:space="0"/>
            </w:tcBorders>
            <w:noWrap/>
            <w:vAlign w:val="center"/>
          </w:tcPr>
          <w:p w14:paraId="214F61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商务</w:t>
            </w:r>
          </w:p>
        </w:tc>
        <w:tc>
          <w:tcPr>
            <w:tcW w:w="6421" w:type="dxa"/>
            <w:tcBorders>
              <w:top w:val="single" w:color="auto" w:sz="4" w:space="0"/>
              <w:left w:val="single" w:color="auto" w:sz="4" w:space="0"/>
              <w:bottom w:val="single" w:color="auto" w:sz="4" w:space="0"/>
              <w:right w:val="single" w:color="auto" w:sz="4" w:space="0"/>
            </w:tcBorders>
            <w:noWrap/>
            <w:vAlign w:val="center"/>
          </w:tcPr>
          <w:p w14:paraId="6EE8871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0"/>
                <w:sz w:val="24"/>
                <w:szCs w:val="24"/>
              </w:rPr>
              <w:t>类似项目业绩评</w:t>
            </w:r>
            <w:r>
              <w:rPr>
                <w:rFonts w:hint="eastAsia" w:ascii="宋体" w:hAnsi="宋体" w:eastAsia="宋体" w:cs="宋体"/>
                <w:b/>
                <w:bCs/>
                <w:color w:val="auto"/>
                <w:kern w:val="0"/>
                <w:sz w:val="24"/>
                <w:szCs w:val="24"/>
                <w:lang w:val="en-US" w:eastAsia="zh-CN"/>
              </w:rPr>
              <w:t>分</w:t>
            </w:r>
            <w:r>
              <w:rPr>
                <w:rFonts w:hint="eastAsia" w:ascii="宋体" w:hAnsi="宋体" w:eastAsia="宋体" w:cs="宋体"/>
                <w:b/>
                <w:bCs/>
                <w:color w:val="auto"/>
                <w:kern w:val="0"/>
                <w:sz w:val="24"/>
                <w:szCs w:val="24"/>
              </w:rPr>
              <w:t>（满分</w:t>
            </w:r>
            <w:r>
              <w:rPr>
                <w:rFonts w:hint="eastAsia" w:ascii="宋体" w:hAnsi="宋体" w:eastAsia="宋体" w:cs="宋体"/>
                <w:b/>
                <w:bCs/>
                <w:color w:val="auto"/>
                <w:kern w:val="0"/>
                <w:sz w:val="24"/>
                <w:szCs w:val="24"/>
                <w:lang w:val="en-US" w:eastAsia="zh-CN"/>
              </w:rPr>
              <w:t>4</w:t>
            </w:r>
            <w:r>
              <w:rPr>
                <w:rFonts w:hint="eastAsia" w:ascii="宋体" w:hAnsi="宋体" w:eastAsia="宋体" w:cs="宋体"/>
                <w:b/>
                <w:bCs/>
                <w:color w:val="auto"/>
                <w:kern w:val="0"/>
                <w:sz w:val="24"/>
                <w:szCs w:val="24"/>
              </w:rPr>
              <w:t>分）</w:t>
            </w:r>
          </w:p>
          <w:p w14:paraId="68C0F7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投标单位近年（2023年1月至今，以证明材料中的时间为准）承担过1个相关类似业绩的，每1个得1分，此项最多得4分。</w:t>
            </w:r>
          </w:p>
          <w:p w14:paraId="387073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注：类似项目业绩证明材料为投标人与用户单位签订的合同或中标（成交）通知书或采购任务书或业主证明材料。无证明材料或证明材料不明确或无法体现业绩内容的，不予认可。</w:t>
            </w:r>
          </w:p>
        </w:tc>
        <w:tc>
          <w:tcPr>
            <w:tcW w:w="750" w:type="dxa"/>
            <w:tcBorders>
              <w:top w:val="single" w:color="auto" w:sz="4" w:space="0"/>
              <w:left w:val="single" w:color="auto" w:sz="4" w:space="0"/>
              <w:bottom w:val="single" w:color="auto" w:sz="4" w:space="0"/>
              <w:right w:val="single" w:color="auto" w:sz="4" w:space="0"/>
            </w:tcBorders>
            <w:noWrap/>
            <w:vAlign w:val="center"/>
          </w:tcPr>
          <w:p w14:paraId="1AA3B43E">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4</w:t>
            </w:r>
          </w:p>
        </w:tc>
        <w:tc>
          <w:tcPr>
            <w:tcW w:w="725" w:type="dxa"/>
            <w:tcBorders>
              <w:top w:val="single" w:color="auto" w:sz="4" w:space="0"/>
              <w:left w:val="single" w:color="auto" w:sz="4" w:space="0"/>
              <w:bottom w:val="single" w:color="auto" w:sz="4" w:space="0"/>
              <w:right w:val="single" w:color="auto" w:sz="4" w:space="0"/>
            </w:tcBorders>
            <w:noWrap/>
            <w:vAlign w:val="center"/>
          </w:tcPr>
          <w:p w14:paraId="28E3BE4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客观</w:t>
            </w:r>
          </w:p>
        </w:tc>
      </w:tr>
    </w:tbl>
    <w:p w14:paraId="72DBAC28">
      <w:pPr>
        <w:spacing w:line="360" w:lineRule="auto"/>
        <w:ind w:firstLine="371" w:firstLineChars="176"/>
        <w:rPr>
          <w:rFonts w:ascii="宋体" w:hAnsi="宋体" w:cs="宋体"/>
          <w:b/>
          <w:color w:val="auto"/>
          <w:szCs w:val="21"/>
        </w:rPr>
      </w:pPr>
      <w:r>
        <w:rPr>
          <w:rFonts w:hint="eastAsia" w:ascii="宋体" w:hAnsi="宋体" w:cs="宋体"/>
          <w:b/>
          <w:color w:val="auto"/>
          <w:szCs w:val="21"/>
        </w:rPr>
        <w:t>注：</w:t>
      </w:r>
      <w:r>
        <w:rPr>
          <w:rFonts w:hint="eastAsia" w:ascii="宋体" w:hAnsi="宋体" w:cs="宋体"/>
          <w:b/>
          <w:color w:val="auto"/>
          <w:szCs w:val="21"/>
          <w:lang w:val="en-US" w:eastAsia="zh-CN"/>
        </w:rPr>
        <w:t>1</w:t>
      </w:r>
      <w:r>
        <w:rPr>
          <w:rFonts w:hint="eastAsia" w:ascii="宋体" w:hAnsi="宋体" w:cs="宋体"/>
          <w:b/>
          <w:color w:val="auto"/>
          <w:szCs w:val="21"/>
        </w:rPr>
        <w:t>、所有评委按规定的范围内进行量化打分，并统计总分。（四舍五入后，小数点后保留两位有效数）。</w:t>
      </w:r>
    </w:p>
    <w:p w14:paraId="59906456">
      <w:pPr>
        <w:adjustRightInd w:val="0"/>
        <w:spacing w:line="360" w:lineRule="auto"/>
        <w:ind w:firstLine="482" w:firstLineChars="200"/>
        <w:contextualSpacing/>
        <w:rPr>
          <w:rFonts w:ascii="宋体" w:hAnsi="宋体" w:cs="宋体"/>
          <w:b/>
          <w:color w:val="auto"/>
          <w:sz w:val="24"/>
        </w:rPr>
      </w:pPr>
      <w:r>
        <w:rPr>
          <w:rFonts w:hint="eastAsia" w:ascii="宋体" w:hAnsi="宋体" w:cs="宋体"/>
          <w:b/>
          <w:bCs/>
          <w:color w:val="auto"/>
          <w:sz w:val="24"/>
        </w:rPr>
        <w:t>第三、打分原则：</w:t>
      </w:r>
    </w:p>
    <w:p w14:paraId="5DCE736C">
      <w:pPr>
        <w:adjustRightInd w:val="0"/>
        <w:spacing w:line="360" w:lineRule="auto"/>
        <w:ind w:firstLine="480" w:firstLineChars="200"/>
        <w:contextualSpacing/>
        <w:rPr>
          <w:rFonts w:ascii="宋体" w:hAnsi="宋体" w:cs="宋体"/>
          <w:color w:val="auto"/>
          <w:sz w:val="24"/>
        </w:rPr>
      </w:pPr>
      <w:r>
        <w:rPr>
          <w:rFonts w:hint="eastAsia" w:ascii="宋体" w:hAnsi="宋体" w:cs="宋体"/>
          <w:color w:val="auto"/>
          <w:sz w:val="24"/>
        </w:rPr>
        <w:t>1.评标委员会评委须严格按照上述办法对项目分项独立打分并签名确认后计算平均得分。</w:t>
      </w:r>
    </w:p>
    <w:p w14:paraId="35845C50">
      <w:pPr>
        <w:keepNext w:val="0"/>
        <w:keepLines w:val="0"/>
        <w:pageBreakBefore w:val="0"/>
        <w:kinsoku/>
        <w:wordWrap/>
        <w:overflowPunct/>
        <w:topLinePunct w:val="0"/>
        <w:autoSpaceDE/>
        <w:autoSpaceDN/>
        <w:bidi w:val="0"/>
        <w:adjustRightInd w:val="0"/>
        <w:snapToGrid/>
        <w:spacing w:line="46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2.评标委员会将根据综合评标的结果，按得分由高至低的顺序向采购人推荐三名中标候选人。</w:t>
      </w:r>
    </w:p>
    <w:p w14:paraId="24B7F5BF">
      <w:pPr>
        <w:keepNext w:val="0"/>
        <w:keepLines w:val="0"/>
        <w:pageBreakBefore w:val="0"/>
        <w:kinsoku/>
        <w:wordWrap/>
        <w:overflowPunct/>
        <w:topLinePunct w:val="0"/>
        <w:autoSpaceDE/>
        <w:autoSpaceDN/>
        <w:bidi w:val="0"/>
        <w:adjustRightInd w:val="0"/>
        <w:snapToGrid/>
        <w:spacing w:line="46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3.若出现得分并列时，按投标报价由低到高顺序排列。得分且投标报价相同的，按技术指标优劣顺序排列。</w:t>
      </w:r>
    </w:p>
    <w:p w14:paraId="7413EA7F">
      <w:pPr>
        <w:keepNext w:val="0"/>
        <w:keepLines w:val="0"/>
        <w:pageBreakBefore w:val="0"/>
        <w:kinsoku/>
        <w:wordWrap/>
        <w:overflowPunct/>
        <w:topLinePunct w:val="0"/>
        <w:autoSpaceDE/>
        <w:autoSpaceDN/>
        <w:bidi w:val="0"/>
        <w:adjustRightInd w:val="0"/>
        <w:snapToGrid/>
        <w:spacing w:line="460" w:lineRule="exact"/>
        <w:ind w:firstLine="482" w:firstLineChars="200"/>
        <w:contextualSpacing/>
        <w:textAlignment w:val="auto"/>
        <w:rPr>
          <w:rFonts w:ascii="宋体" w:hAnsi="宋体"/>
          <w:b/>
          <w:color w:val="auto"/>
          <w:sz w:val="24"/>
        </w:rPr>
      </w:pPr>
      <w:bookmarkStart w:id="82" w:name="_Toc438049525"/>
      <w:bookmarkStart w:id="83" w:name="_Toc31334"/>
      <w:bookmarkStart w:id="84" w:name="_Toc497204733"/>
      <w:r>
        <w:rPr>
          <w:rFonts w:hint="eastAsia" w:ascii="宋体" w:hAnsi="宋体"/>
          <w:b/>
          <w:color w:val="auto"/>
          <w:sz w:val="24"/>
        </w:rPr>
        <w:t>4.推荐中标候选人</w:t>
      </w:r>
      <w:bookmarkEnd w:id="82"/>
      <w:bookmarkEnd w:id="83"/>
      <w:bookmarkEnd w:id="84"/>
    </w:p>
    <w:p w14:paraId="1D9CBBF5">
      <w:pPr>
        <w:keepNext w:val="0"/>
        <w:keepLines w:val="0"/>
        <w:pageBreakBefore w:val="0"/>
        <w:kinsoku/>
        <w:wordWrap/>
        <w:overflowPunct/>
        <w:topLinePunct w:val="0"/>
        <w:autoSpaceDE/>
        <w:autoSpaceDN/>
        <w:bidi w:val="0"/>
        <w:adjustRightInd w:val="0"/>
        <w:snapToGrid/>
        <w:spacing w:line="46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采购人将合同授予被确定为实质上响应采购文件要求，能够满意履行合同义务且得分最高的投标人为中标人。</w:t>
      </w:r>
    </w:p>
    <w:p w14:paraId="53213A4D">
      <w:pPr>
        <w:keepNext w:val="0"/>
        <w:keepLines w:val="0"/>
        <w:pageBreakBefore w:val="0"/>
        <w:kinsoku/>
        <w:wordWrap/>
        <w:overflowPunct/>
        <w:topLinePunct w:val="0"/>
        <w:autoSpaceDE/>
        <w:autoSpaceDN/>
        <w:bidi w:val="0"/>
        <w:adjustRightInd w:val="0"/>
        <w:snapToGrid/>
        <w:spacing w:line="460" w:lineRule="exact"/>
        <w:ind w:firstLine="482" w:firstLineChars="200"/>
        <w:contextualSpacing/>
        <w:textAlignment w:val="auto"/>
        <w:rPr>
          <w:rFonts w:ascii="宋体" w:hAnsi="宋体"/>
          <w:b/>
          <w:color w:val="auto"/>
          <w:sz w:val="24"/>
        </w:rPr>
      </w:pPr>
      <w:bookmarkStart w:id="85" w:name="_Toc497204734"/>
      <w:bookmarkStart w:id="86" w:name="_Toc3031"/>
      <w:bookmarkStart w:id="87" w:name="_Toc438049526"/>
      <w:r>
        <w:rPr>
          <w:rFonts w:hint="eastAsia" w:ascii="宋体" w:hAnsi="宋体"/>
          <w:b/>
          <w:color w:val="auto"/>
          <w:sz w:val="24"/>
        </w:rPr>
        <w:t>5.评标报告</w:t>
      </w:r>
      <w:bookmarkEnd w:id="85"/>
      <w:bookmarkEnd w:id="86"/>
    </w:p>
    <w:p w14:paraId="131B588F">
      <w:pPr>
        <w:keepNext w:val="0"/>
        <w:keepLines w:val="0"/>
        <w:pageBreakBefore w:val="0"/>
        <w:kinsoku/>
        <w:wordWrap/>
        <w:overflowPunct/>
        <w:topLinePunct w:val="0"/>
        <w:autoSpaceDE/>
        <w:autoSpaceDN/>
        <w:bidi w:val="0"/>
        <w:adjustRightInd w:val="0"/>
        <w:snapToGrid/>
        <w:spacing w:line="460" w:lineRule="exact"/>
        <w:ind w:firstLine="480" w:firstLineChars="200"/>
        <w:contextualSpacing/>
        <w:textAlignment w:val="auto"/>
        <w:rPr>
          <w:rFonts w:ascii="宋体" w:hAnsi="宋体" w:cs="宋体"/>
          <w:color w:val="auto"/>
          <w:sz w:val="24"/>
        </w:rPr>
      </w:pPr>
      <w:r>
        <w:rPr>
          <w:rFonts w:hint="eastAsia" w:ascii="宋体" w:hAnsi="宋体" w:cs="宋体"/>
          <w:color w:val="auto"/>
          <w:sz w:val="24"/>
        </w:rPr>
        <w:t>评标委员会完成评标后应书写评标报告并由全成员签字，作为评标工作的内容之一存档备查。对评标结论持有异议的评标委员会成员可以用书面方式阐述不同意见和理由。评标委员会成员拒绝在评标报告上签字且不陈述其不同意见和理由的，可视为同意评标结论。评标委员会将对此做出书面说明并记录备案。</w:t>
      </w:r>
      <w:bookmarkEnd w:id="87"/>
    </w:p>
    <w:p w14:paraId="1BC1A5AC">
      <w:pPr>
        <w:keepNext w:val="0"/>
        <w:keepLines w:val="0"/>
        <w:pageBreakBefore w:val="0"/>
        <w:kinsoku/>
        <w:wordWrap/>
        <w:overflowPunct/>
        <w:topLinePunct w:val="0"/>
        <w:autoSpaceDE/>
        <w:autoSpaceDN/>
        <w:bidi w:val="0"/>
        <w:adjustRightInd w:val="0"/>
        <w:snapToGrid/>
        <w:spacing w:line="460" w:lineRule="exact"/>
        <w:ind w:firstLine="482" w:firstLineChars="200"/>
        <w:contextualSpacing/>
        <w:textAlignment w:val="auto"/>
        <w:rPr>
          <w:rFonts w:ascii="宋体" w:hAnsi="宋体"/>
          <w:b/>
          <w:color w:val="auto"/>
          <w:sz w:val="24"/>
        </w:rPr>
      </w:pPr>
      <w:bookmarkStart w:id="88" w:name="_Toc497204735"/>
      <w:bookmarkStart w:id="89" w:name="_Toc438049527"/>
      <w:bookmarkStart w:id="90" w:name="_Toc24153"/>
      <w:r>
        <w:rPr>
          <w:rFonts w:hint="eastAsia" w:ascii="宋体" w:hAnsi="宋体"/>
          <w:b/>
          <w:color w:val="auto"/>
          <w:sz w:val="24"/>
        </w:rPr>
        <w:t>6.未尽事宜</w:t>
      </w:r>
      <w:bookmarkEnd w:id="88"/>
      <w:bookmarkEnd w:id="89"/>
      <w:bookmarkEnd w:id="90"/>
    </w:p>
    <w:p w14:paraId="24279FF7">
      <w:pPr>
        <w:keepNext w:val="0"/>
        <w:keepLines w:val="0"/>
        <w:pageBreakBefore w:val="0"/>
        <w:widowControl/>
        <w:kinsoku/>
        <w:wordWrap/>
        <w:overflowPunct/>
        <w:topLinePunct w:val="0"/>
        <w:autoSpaceDE/>
        <w:autoSpaceDN/>
        <w:bidi w:val="0"/>
        <w:snapToGrid/>
        <w:spacing w:line="460" w:lineRule="exact"/>
        <w:jc w:val="left"/>
        <w:textAlignment w:val="auto"/>
        <w:rPr>
          <w:rFonts w:hint="eastAsia" w:ascii="宋体" w:hAnsi="宋体" w:cs="宋体"/>
          <w:color w:val="auto"/>
          <w:sz w:val="24"/>
        </w:rPr>
      </w:pPr>
      <w:r>
        <w:rPr>
          <w:rFonts w:hint="eastAsia" w:ascii="宋体" w:hAnsi="宋体" w:cs="宋体"/>
          <w:color w:val="auto"/>
          <w:sz w:val="24"/>
        </w:rPr>
        <w:t>未尽事宜及评标中若遇特殊问题，由评标委员会根据有关法律、法规研究解决。</w:t>
      </w:r>
    </w:p>
    <w:p w14:paraId="4DD20D85">
      <w:pPr>
        <w:keepNext w:val="0"/>
        <w:keepLines w:val="0"/>
        <w:pageBreakBefore w:val="0"/>
        <w:kinsoku/>
        <w:wordWrap/>
        <w:overflowPunct/>
        <w:topLinePunct w:val="0"/>
        <w:autoSpaceDE/>
        <w:autoSpaceDN/>
        <w:bidi w:val="0"/>
        <w:adjustRightInd w:val="0"/>
        <w:snapToGrid/>
        <w:spacing w:line="440" w:lineRule="exact"/>
        <w:ind w:firstLine="482" w:firstLineChars="200"/>
        <w:textAlignment w:val="auto"/>
        <w:rPr>
          <w:rFonts w:ascii="宋体" w:cs="宋体"/>
          <w:b/>
          <w:color w:val="auto"/>
          <w:sz w:val="24"/>
        </w:rPr>
      </w:pPr>
      <w:r>
        <w:rPr>
          <w:rFonts w:ascii="宋体" w:cs="宋体"/>
          <w:b/>
          <w:color w:val="auto"/>
          <w:sz w:val="24"/>
        </w:rPr>
        <w:t>7</w:t>
      </w:r>
      <w:r>
        <w:rPr>
          <w:rFonts w:hint="eastAsia" w:ascii="宋体" w:cs="宋体"/>
          <w:b/>
          <w:color w:val="auto"/>
          <w:sz w:val="24"/>
        </w:rPr>
        <w:t>.4节能、环境标志产品</w:t>
      </w:r>
    </w:p>
    <w:p w14:paraId="64F8EC12">
      <w:pPr>
        <w:keepNext w:val="0"/>
        <w:keepLines w:val="0"/>
        <w:pageBreakBefore w:val="0"/>
        <w:kinsoku/>
        <w:wordWrap/>
        <w:overflowPunct/>
        <w:topLinePunct w:val="0"/>
        <w:autoSpaceDE/>
        <w:autoSpaceDN/>
        <w:bidi w:val="0"/>
        <w:adjustRightInd w:val="0"/>
        <w:snapToGrid/>
        <w:spacing w:line="440" w:lineRule="exact"/>
        <w:ind w:firstLine="480" w:firstLineChars="200"/>
        <w:textAlignment w:val="auto"/>
        <w:rPr>
          <w:rFonts w:ascii="宋体" w:cs="宋体"/>
          <w:color w:val="auto"/>
          <w:sz w:val="24"/>
        </w:rPr>
      </w:pPr>
      <w:r>
        <w:rPr>
          <w:rFonts w:ascii="宋体" w:cs="宋体"/>
          <w:color w:val="auto"/>
          <w:sz w:val="24"/>
        </w:rPr>
        <w:t>7</w:t>
      </w:r>
      <w:r>
        <w:rPr>
          <w:rFonts w:hint="eastAsia" w:ascii="宋体" w:cs="宋体"/>
          <w:color w:val="auto"/>
          <w:sz w:val="24"/>
        </w:rPr>
        <w:t>.4.1节能产品是指列入财政部和国家发改委公布的《节能产品政府采购品目清单》中的货物。政府强制采购节能产品是指《节能产品政府采购品目清单》中以“★”标注类别的产品。</w:t>
      </w:r>
    </w:p>
    <w:p w14:paraId="38BAF196">
      <w:pPr>
        <w:keepNext w:val="0"/>
        <w:keepLines w:val="0"/>
        <w:pageBreakBefore w:val="0"/>
        <w:kinsoku/>
        <w:wordWrap/>
        <w:overflowPunct/>
        <w:topLinePunct w:val="0"/>
        <w:autoSpaceDE/>
        <w:autoSpaceDN/>
        <w:bidi w:val="0"/>
        <w:adjustRightInd w:val="0"/>
        <w:snapToGrid/>
        <w:spacing w:line="440" w:lineRule="exact"/>
        <w:ind w:firstLine="480" w:firstLineChars="200"/>
        <w:textAlignment w:val="auto"/>
        <w:rPr>
          <w:rFonts w:ascii="宋体" w:cs="宋体"/>
          <w:color w:val="auto"/>
          <w:sz w:val="24"/>
        </w:rPr>
      </w:pPr>
      <w:r>
        <w:rPr>
          <w:rFonts w:ascii="宋体" w:cs="宋体"/>
          <w:color w:val="auto"/>
          <w:sz w:val="24"/>
        </w:rPr>
        <w:t>7</w:t>
      </w:r>
      <w:r>
        <w:rPr>
          <w:rFonts w:hint="eastAsia" w:ascii="宋体" w:cs="宋体"/>
          <w:color w:val="auto"/>
          <w:sz w:val="24"/>
        </w:rPr>
        <w:t>.4.2环境标志产品是指列入财政部、生态环境部公布的《环境标志产品政府采购品目清单》中的货物。</w:t>
      </w:r>
    </w:p>
    <w:p w14:paraId="6F25EF57">
      <w:pPr>
        <w:keepNext w:val="0"/>
        <w:keepLines w:val="0"/>
        <w:pageBreakBefore w:val="0"/>
        <w:kinsoku/>
        <w:wordWrap/>
        <w:overflowPunct/>
        <w:topLinePunct w:val="0"/>
        <w:autoSpaceDE/>
        <w:autoSpaceDN/>
        <w:bidi w:val="0"/>
        <w:adjustRightInd w:val="0"/>
        <w:snapToGrid/>
        <w:spacing w:line="440" w:lineRule="exact"/>
        <w:ind w:firstLine="480" w:firstLineChars="200"/>
        <w:textAlignment w:val="auto"/>
        <w:rPr>
          <w:rFonts w:ascii="宋体" w:cs="宋体"/>
          <w:color w:val="auto"/>
          <w:sz w:val="24"/>
        </w:rPr>
      </w:pPr>
      <w:r>
        <w:rPr>
          <w:rFonts w:hint="eastAsia" w:ascii="宋体" w:cs="宋体"/>
          <w:color w:val="auto"/>
          <w:sz w:val="24"/>
        </w:rPr>
        <w:t>★2.4.3本项目采购清单中若有政府强制采购节能产品，只接受强制节能产品投标，投标人必须在投标文件中提供国家确定的认证机构出具的、处于有效期之内的节能产品认证证书。投标人必须选报，否则按不实质性响应采购文件要求处理。</w:t>
      </w:r>
    </w:p>
    <w:p w14:paraId="7608C275">
      <w:pPr>
        <w:keepNext w:val="0"/>
        <w:keepLines w:val="0"/>
        <w:pageBreakBefore w:val="0"/>
        <w:kinsoku/>
        <w:wordWrap/>
        <w:overflowPunct/>
        <w:topLinePunct w:val="0"/>
        <w:autoSpaceDE/>
        <w:autoSpaceDN/>
        <w:bidi w:val="0"/>
        <w:adjustRightInd w:val="0"/>
        <w:snapToGrid/>
        <w:spacing w:line="440" w:lineRule="exact"/>
        <w:ind w:firstLine="480" w:firstLineChars="200"/>
        <w:textAlignment w:val="auto"/>
        <w:rPr>
          <w:rFonts w:ascii="宋体" w:cs="宋体"/>
          <w:color w:val="auto"/>
          <w:sz w:val="24"/>
        </w:rPr>
      </w:pPr>
      <w:r>
        <w:rPr>
          <w:rFonts w:ascii="宋体" w:cs="宋体"/>
          <w:color w:val="auto"/>
          <w:sz w:val="24"/>
        </w:rPr>
        <w:t>7</w:t>
      </w:r>
      <w:r>
        <w:rPr>
          <w:rFonts w:hint="eastAsia" w:ascii="宋体" w:cs="宋体"/>
          <w:color w:val="auto"/>
          <w:sz w:val="24"/>
        </w:rPr>
        <w:t>.4.4投标人应在投标文件中提供所投标产品国家确定的认证机构出具的、处于有效期之内的节能产品、环境标志产品认证证书，否则不予认可。</w:t>
      </w:r>
    </w:p>
    <w:p w14:paraId="1EEBF7B0">
      <w:pPr>
        <w:keepNext w:val="0"/>
        <w:keepLines w:val="0"/>
        <w:pageBreakBefore w:val="0"/>
        <w:widowControl/>
        <w:kinsoku/>
        <w:wordWrap/>
        <w:overflowPunct/>
        <w:topLinePunct w:val="0"/>
        <w:autoSpaceDE/>
        <w:autoSpaceDN/>
        <w:bidi w:val="0"/>
        <w:snapToGrid/>
        <w:spacing w:line="440" w:lineRule="exact"/>
        <w:textAlignment w:val="auto"/>
        <w:rPr>
          <w:rFonts w:hint="eastAsia" w:ascii="宋体" w:cs="宋体"/>
          <w:color w:val="auto"/>
          <w:sz w:val="24"/>
        </w:rPr>
      </w:pPr>
      <w:r>
        <w:rPr>
          <w:rFonts w:ascii="宋体" w:cs="宋体"/>
          <w:color w:val="auto"/>
          <w:sz w:val="24"/>
        </w:rPr>
        <w:t>7</w:t>
      </w:r>
      <w:r>
        <w:rPr>
          <w:rFonts w:hint="eastAsia" w:ascii="宋体" w:cs="宋体"/>
          <w:color w:val="auto"/>
          <w:sz w:val="24"/>
        </w:rPr>
        <w:t>.4.5《节能产品政府采购品目清单》及《环境标志产品政府采购品目清单》可通过中国政府采购网（http://www.ccgp.gov.cn/ ）查阅、下载。</w:t>
      </w:r>
    </w:p>
    <w:p w14:paraId="56FE354D">
      <w:pPr>
        <w:keepNext w:val="0"/>
        <w:keepLines w:val="0"/>
        <w:pageBreakBefore w:val="0"/>
        <w:kinsoku/>
        <w:wordWrap/>
        <w:overflowPunct/>
        <w:topLinePunct w:val="0"/>
        <w:autoSpaceDE/>
        <w:autoSpaceDN/>
        <w:bidi w:val="0"/>
        <w:adjustRightInd w:val="0"/>
        <w:snapToGrid/>
        <w:spacing w:line="460" w:lineRule="exact"/>
        <w:ind w:firstLine="482" w:firstLineChars="200"/>
        <w:contextualSpacing/>
        <w:textAlignment w:val="auto"/>
        <w:rPr>
          <w:rFonts w:hint="eastAsia" w:ascii="宋体" w:hAnsi="宋体" w:cs="Times New Roman"/>
          <w:b/>
          <w:color w:val="auto"/>
          <w:sz w:val="24"/>
        </w:rPr>
      </w:pPr>
      <w:r>
        <w:rPr>
          <w:rFonts w:hint="eastAsia" w:ascii="宋体" w:hAnsi="宋体" w:cs="Times New Roman"/>
          <w:b/>
          <w:color w:val="auto"/>
          <w:sz w:val="24"/>
          <w:lang w:val="en-US" w:eastAsia="zh-CN"/>
        </w:rPr>
        <w:t>8.强化政府采购异常低价审查</w:t>
      </w:r>
    </w:p>
    <w:p w14:paraId="50FC7A65">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（一）政府采购评审中出现下列情形之一的，评审委员会应当启动异常低价投标（响应）审查程序：</w:t>
      </w:r>
    </w:p>
    <w:p w14:paraId="448B180D">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①投标（响应）报价低于全部通过符合性审查供应商投标（响应）报价平均值50%的，即投标（响应）报价&lt;全部通过符合性审查供应商投标（响应）报价平均值×50%；</w:t>
      </w:r>
    </w:p>
    <w:p w14:paraId="08CA4AE7">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②投标（响应）报价低于通过符合性审查的次低报价供应商投标（响应）报价50%的，即投标（响应）报价&lt;通过符合性审查的次低报价供应商投标（响应）报价×50%；</w:t>
      </w:r>
    </w:p>
    <w:p w14:paraId="00733ACE">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③投标（响应）报价低于采购项目最高限价45%的，即投标（响应）报价&lt;采购项目最高限价×45%；</w:t>
      </w:r>
    </w:p>
    <w:p w14:paraId="2D6F51B7">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④评审委员会基于专业判断，认为供应商报价过低，有可能影响产品质量或者不能诚信履约的其他情形。</w:t>
      </w:r>
    </w:p>
    <w:p w14:paraId="5D750873">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采购人可以结合具体项目实际情况，提高上述第1项至第3项中启动异常低价投标（响应）审查的数值标准，但是最高不得超过65%。</w:t>
      </w:r>
    </w:p>
    <w:p w14:paraId="13300717">
      <w:pPr>
        <w:adjustRightInd w:val="0"/>
        <w:spacing w:line="360" w:lineRule="auto"/>
        <w:ind w:firstLine="482" w:firstLineChars="200"/>
        <w:contextualSpacing/>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相关法律法规对供应商报价有规定的，从其规定。</w:t>
      </w:r>
    </w:p>
    <w:p w14:paraId="3BD62A07">
      <w:pPr>
        <w:keepNext w:val="0"/>
        <w:keepLines w:val="0"/>
        <w:pageBreakBefore w:val="0"/>
        <w:kinsoku/>
        <w:wordWrap/>
        <w:overflowPunct/>
        <w:topLinePunct w:val="0"/>
        <w:autoSpaceDE/>
        <w:autoSpaceDN/>
        <w:bidi w:val="0"/>
        <w:adjustRightInd w:val="0"/>
        <w:snapToGrid/>
        <w:spacing w:line="440" w:lineRule="exact"/>
        <w:ind w:firstLine="482" w:firstLineChars="200"/>
        <w:contextualSpacing/>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B42EE71">
      <w:pPr>
        <w:keepNext w:val="0"/>
        <w:keepLines w:val="0"/>
        <w:pageBreakBefore w:val="0"/>
        <w:kinsoku/>
        <w:wordWrap/>
        <w:overflowPunct/>
        <w:topLinePunct w:val="0"/>
        <w:autoSpaceDE/>
        <w:autoSpaceDN/>
        <w:bidi w:val="0"/>
        <w:adjustRightInd w:val="0"/>
        <w:snapToGrid/>
        <w:spacing w:line="440" w:lineRule="exact"/>
        <w:ind w:firstLine="482" w:firstLineChars="200"/>
        <w:contextualSpacing/>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17914A">
      <w:pPr>
        <w:keepNext w:val="0"/>
        <w:keepLines w:val="0"/>
        <w:pageBreakBefore w:val="0"/>
        <w:kinsoku/>
        <w:wordWrap/>
        <w:overflowPunct/>
        <w:topLinePunct w:val="0"/>
        <w:autoSpaceDE/>
        <w:autoSpaceDN/>
        <w:bidi w:val="0"/>
        <w:adjustRightInd w:val="0"/>
        <w:snapToGrid/>
        <w:spacing w:line="440" w:lineRule="exact"/>
        <w:ind w:firstLine="482" w:firstLineChars="200"/>
        <w:contextualSpacing/>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BB0BE45">
      <w:pPr>
        <w:keepNext w:val="0"/>
        <w:keepLines w:val="0"/>
        <w:pageBreakBefore w:val="0"/>
        <w:widowControl/>
        <w:kinsoku/>
        <w:wordWrap/>
        <w:overflowPunct/>
        <w:topLinePunct w:val="0"/>
        <w:autoSpaceDE/>
        <w:autoSpaceDN/>
        <w:bidi w:val="0"/>
        <w:snapToGrid/>
        <w:spacing w:line="440" w:lineRule="exact"/>
        <w:textAlignment w:val="auto"/>
        <w:rPr>
          <w:rFonts w:ascii="宋体" w:hAnsi="宋体" w:cs="宋体"/>
          <w:color w:val="auto"/>
          <w:sz w:val="24"/>
        </w:rPr>
      </w:pPr>
      <w:r>
        <w:rPr>
          <w:rFonts w:hint="eastAsia" w:ascii="宋体" w:hAnsi="宋体" w:eastAsia="宋体" w:cs="宋体"/>
          <w:b/>
          <w:bCs/>
          <w:color w:val="auto"/>
          <w:sz w:val="24"/>
          <w:szCs w:val="24"/>
          <w:lang w:val="en-US" w:eastAsia="zh-CN"/>
        </w:rPr>
        <w:t>异常低价投标（响应）审查的启动原因、审查意见和审查结果应当在评审报告中记录，并随供应商提供的相关书面说明及证明材料，以及评审委员会有关互联网浏览、查询历史一并归档。</w:t>
      </w:r>
      <w:r>
        <w:rPr>
          <w:rFonts w:hint="eastAsia" w:ascii="宋体" w:hAnsi="宋体" w:cs="宋体"/>
          <w:color w:val="auto"/>
          <w:sz w:val="24"/>
        </w:rPr>
        <w:br w:type="page"/>
      </w:r>
      <w:r>
        <w:rPr>
          <w:rFonts w:hint="eastAsia" w:ascii="宋体" w:hAnsi="宋体" w:cs="宋体"/>
          <w:color w:val="auto"/>
          <w:sz w:val="24"/>
        </w:rPr>
        <w:t>附件</w:t>
      </w:r>
      <w:r>
        <w:rPr>
          <w:rFonts w:hint="eastAsia" w:ascii="宋体" w:hAnsi="宋体" w:cs="宋体"/>
          <w:color w:val="auto"/>
          <w:sz w:val="24"/>
          <w:lang w:val="en-US" w:eastAsia="zh-CN"/>
        </w:rPr>
        <w:t>1</w:t>
      </w:r>
      <w:r>
        <w:rPr>
          <w:rFonts w:hint="eastAsia" w:ascii="宋体" w:hAnsi="宋体" w:cs="宋体"/>
          <w:color w:val="auto"/>
          <w:sz w:val="24"/>
        </w:rPr>
        <w:t>：</w:t>
      </w:r>
    </w:p>
    <w:p w14:paraId="23A31784">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节能、环境标志产品</w:t>
      </w:r>
    </w:p>
    <w:p w14:paraId="58C7CA6A">
      <w:pPr>
        <w:spacing w:line="360" w:lineRule="auto"/>
        <w:ind w:firstLine="420" w:firstLineChars="200"/>
        <w:rPr>
          <w:rFonts w:hAnsi="宋体"/>
          <w:color w:val="auto"/>
          <w:szCs w:val="20"/>
        </w:rPr>
      </w:pPr>
    </w:p>
    <w:p w14:paraId="76DFA09F">
      <w:pPr>
        <w:spacing w:line="360" w:lineRule="auto"/>
        <w:ind w:firstLine="504" w:firstLineChars="200"/>
        <w:rPr>
          <w:rFonts w:ascii="宋体" w:hAnsi="宋体" w:cs="宋体"/>
          <w:color w:val="auto"/>
          <w:spacing w:val="6"/>
          <w:sz w:val="24"/>
        </w:rPr>
      </w:pPr>
      <w:r>
        <w:rPr>
          <w:rFonts w:hint="eastAsia" w:ascii="宋体" w:hAnsi="宋体" w:cs="宋体"/>
          <w:color w:val="auto"/>
          <w:spacing w:val="6"/>
          <w:sz w:val="24"/>
        </w:rPr>
        <w:t xml:space="preserve">1.节能产品是指列入财政部和国家发改委《关于印发节能产品政府采购品目清单的通知》（财库〔2019〕19 号）公布的《节能产品政府采购品目清单》中的货物。政府强制采购节能产品是指该品目清单中以“★”标注类别的产品。 </w:t>
      </w:r>
    </w:p>
    <w:p w14:paraId="56C8B060">
      <w:pPr>
        <w:spacing w:line="360" w:lineRule="auto"/>
        <w:ind w:firstLine="504" w:firstLineChars="200"/>
        <w:rPr>
          <w:rFonts w:ascii="宋体" w:hAnsi="宋体" w:cs="宋体"/>
          <w:color w:val="auto"/>
          <w:spacing w:val="6"/>
          <w:sz w:val="24"/>
        </w:rPr>
      </w:pPr>
      <w:r>
        <w:rPr>
          <w:rFonts w:hint="eastAsia" w:ascii="宋体" w:hAnsi="宋体" w:cs="宋体"/>
          <w:color w:val="auto"/>
          <w:spacing w:val="6"/>
          <w:sz w:val="24"/>
        </w:rPr>
        <w:t xml:space="preserve">2.环境标志产品是指列入财政部、生态环境部《关于印发环境标志产品政府采购品目清单的通知》（财库〔2019〕18 号）公布的《环境标志产品政府采购品目清单》中的货物。 </w:t>
      </w:r>
    </w:p>
    <w:p w14:paraId="319ED690">
      <w:pPr>
        <w:spacing w:line="360" w:lineRule="auto"/>
        <w:ind w:firstLine="504" w:firstLineChars="200"/>
        <w:rPr>
          <w:rFonts w:ascii="宋体" w:hAnsi="宋体" w:cs="宋体"/>
          <w:color w:val="auto"/>
          <w:spacing w:val="6"/>
          <w:sz w:val="24"/>
        </w:rPr>
      </w:pPr>
      <w:r>
        <w:rPr>
          <w:rFonts w:hint="eastAsia" w:ascii="宋体" w:hAnsi="宋体" w:cs="宋体"/>
          <w:color w:val="auto"/>
          <w:spacing w:val="6"/>
          <w:sz w:val="24"/>
        </w:rPr>
        <w:t xml:space="preserve">★3.本项目采购清单中若有政府强制采购节能产品，只接受强制节能产品投标，投标人必须在投标文件中提供国家确定的认证机构出具的、处于有效期之内的节能产品认证证书。投标人必须选报，否则按不实质性响应招标文件要求处理。 </w:t>
      </w:r>
    </w:p>
    <w:p w14:paraId="6A122876">
      <w:pPr>
        <w:spacing w:line="360" w:lineRule="auto"/>
        <w:ind w:firstLine="504" w:firstLineChars="200"/>
        <w:rPr>
          <w:rFonts w:ascii="宋体" w:hAnsi="宋体" w:cs="宋体"/>
          <w:color w:val="auto"/>
          <w:spacing w:val="6"/>
          <w:sz w:val="24"/>
        </w:rPr>
      </w:pPr>
      <w:r>
        <w:rPr>
          <w:rFonts w:hint="eastAsia" w:ascii="宋体" w:hAnsi="宋体" w:cs="宋体"/>
          <w:color w:val="auto"/>
          <w:spacing w:val="6"/>
          <w:sz w:val="24"/>
        </w:rPr>
        <w:t>4.投标人应在投标文件中所投标产品国家确定的认证机构出具的、处于有效期之内的节能产品、环境标志产品认证证书，否则不予认可。</w:t>
      </w:r>
    </w:p>
    <w:p w14:paraId="67215DAA">
      <w:pPr>
        <w:spacing w:line="360" w:lineRule="auto"/>
        <w:ind w:firstLine="504" w:firstLineChars="200"/>
        <w:rPr>
          <w:rFonts w:ascii="宋体" w:hAnsi="宋体" w:cs="宋体"/>
          <w:color w:val="auto"/>
          <w:spacing w:val="6"/>
          <w:sz w:val="24"/>
        </w:rPr>
      </w:pPr>
      <w:r>
        <w:rPr>
          <w:rFonts w:hint="eastAsia" w:ascii="宋体" w:hAnsi="宋体" w:cs="宋体"/>
          <w:color w:val="auto"/>
          <w:spacing w:val="6"/>
          <w:sz w:val="24"/>
        </w:rPr>
        <w:t>5.《节能产品政府采购品目清单》及《环境标志产品政府采购品目清单》可通过中国政府采购网 （http://www.ccgp.gov.cn/ ）查阅、下载。</w:t>
      </w:r>
    </w:p>
    <w:p w14:paraId="28FBE49E">
      <w:pPr>
        <w:pStyle w:val="4"/>
        <w:rPr>
          <w:rFonts w:ascii="宋体" w:hAnsi="宋体" w:cs="宋体"/>
          <w:color w:val="auto"/>
          <w:sz w:val="24"/>
          <w:szCs w:val="24"/>
        </w:rPr>
      </w:pPr>
    </w:p>
    <w:p w14:paraId="4AF47776">
      <w:pPr>
        <w:rPr>
          <w:rFonts w:hint="eastAsia" w:ascii="宋体" w:hAnsi="宋体" w:cs="宋体"/>
          <w:color w:val="auto"/>
          <w:sz w:val="24"/>
        </w:rPr>
      </w:pPr>
    </w:p>
    <w:p w14:paraId="2C89DCF2">
      <w:pPr>
        <w:pStyle w:val="4"/>
        <w:rPr>
          <w:rFonts w:hint="eastAsia" w:ascii="宋体" w:hAnsi="宋体" w:cs="宋体"/>
          <w:color w:val="auto"/>
          <w:sz w:val="24"/>
          <w:szCs w:val="24"/>
        </w:rPr>
      </w:pPr>
    </w:p>
    <w:p w14:paraId="3E395251">
      <w:pPr>
        <w:rPr>
          <w:rFonts w:hint="eastAsia" w:ascii="宋体" w:hAnsi="宋体" w:cs="宋体"/>
          <w:color w:val="auto"/>
          <w:sz w:val="24"/>
        </w:rPr>
      </w:pPr>
    </w:p>
    <w:p w14:paraId="3A250669">
      <w:pPr>
        <w:pStyle w:val="4"/>
        <w:rPr>
          <w:rFonts w:hint="eastAsia" w:ascii="宋体" w:hAnsi="宋体" w:cs="宋体"/>
          <w:color w:val="auto"/>
          <w:sz w:val="24"/>
          <w:szCs w:val="24"/>
        </w:rPr>
      </w:pPr>
    </w:p>
    <w:p w14:paraId="070B92D4">
      <w:pPr>
        <w:rPr>
          <w:rFonts w:hint="eastAsia" w:ascii="宋体" w:hAnsi="宋体" w:cs="宋体"/>
          <w:color w:val="auto"/>
          <w:sz w:val="24"/>
        </w:rPr>
        <w:sectPr>
          <w:headerReference r:id="rId3" w:type="default"/>
          <w:footerReference r:id="rId4" w:type="default"/>
          <w:pgSz w:w="11906" w:h="16838"/>
          <w:pgMar w:top="1440" w:right="1800" w:bottom="1440" w:left="1800" w:header="851" w:footer="992" w:gutter="0"/>
          <w:cols w:space="720" w:num="1"/>
          <w:titlePg/>
          <w:docGrid w:type="lines" w:linePitch="312" w:charSpace="0"/>
        </w:sectPr>
      </w:pPr>
    </w:p>
    <w:p w14:paraId="5750BB51">
      <w:pPr>
        <w:widowControl/>
        <w:spacing w:line="240" w:lineRule="atLeast"/>
        <w:jc w:val="center"/>
        <w:outlineLvl w:val="0"/>
        <w:rPr>
          <w:rFonts w:hint="eastAsia" w:ascii="宋体" w:hAnsi="宋体" w:cs="宋体"/>
          <w:b/>
          <w:bCs/>
          <w:color w:val="auto"/>
          <w:kern w:val="0"/>
          <w:sz w:val="30"/>
          <w:szCs w:val="30"/>
        </w:rPr>
      </w:pPr>
      <w:bookmarkStart w:id="91" w:name="_Toc21792"/>
      <w:r>
        <w:rPr>
          <w:rFonts w:hint="eastAsia" w:ascii="宋体" w:hAnsi="宋体" w:cs="宋体"/>
          <w:b/>
          <w:bCs/>
          <w:color w:val="auto"/>
          <w:kern w:val="0"/>
          <w:sz w:val="30"/>
          <w:szCs w:val="30"/>
        </w:rPr>
        <w:t xml:space="preserve">第四章  </w:t>
      </w:r>
      <w:bookmarkEnd w:id="91"/>
      <w:r>
        <w:rPr>
          <w:rFonts w:hint="eastAsia" w:ascii="宋体" w:hAnsi="宋体" w:cs="宋体"/>
          <w:b/>
          <w:bCs/>
          <w:color w:val="auto"/>
          <w:kern w:val="0"/>
          <w:sz w:val="30"/>
          <w:szCs w:val="30"/>
        </w:rPr>
        <w:t>采购清单及技术参数</w:t>
      </w:r>
    </w:p>
    <w:p w14:paraId="558D4ABB">
      <w:pPr>
        <w:widowControl/>
        <w:spacing w:line="240" w:lineRule="atLeast"/>
        <w:jc w:val="center"/>
        <w:outlineLvl w:val="0"/>
        <w:rPr>
          <w:rFonts w:hint="eastAsia" w:ascii="宋体" w:hAnsi="宋体" w:cs="宋体"/>
          <w:b/>
          <w:bCs/>
          <w:color w:val="auto"/>
          <w:kern w:val="0"/>
          <w:sz w:val="30"/>
          <w:szCs w:val="30"/>
        </w:rPr>
      </w:pPr>
      <w:r>
        <w:rPr>
          <w:rFonts w:hint="eastAsia" w:ascii="宋体" w:hAnsi="宋体" w:eastAsia="宋体" w:cs="宋体"/>
          <w:b/>
          <w:bCs/>
          <w:color w:val="auto"/>
          <w:spacing w:val="-2"/>
          <w:sz w:val="28"/>
          <w:szCs w:val="28"/>
        </w:rPr>
        <w:t>设备采购清单</w:t>
      </w:r>
    </w:p>
    <w:tbl>
      <w:tblPr>
        <w:tblStyle w:val="61"/>
        <w:tblW w:w="8921" w:type="dxa"/>
        <w:tblInd w:w="-2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5007"/>
        <w:gridCol w:w="960"/>
        <w:gridCol w:w="978"/>
        <w:gridCol w:w="1212"/>
      </w:tblGrid>
      <w:tr w14:paraId="68FBE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64" w:type="dxa"/>
            <w:noWrap w:val="0"/>
            <w:vAlign w:val="top"/>
          </w:tcPr>
          <w:p w14:paraId="24685A5C">
            <w:pPr>
              <w:spacing w:before="41" w:line="206" w:lineRule="auto"/>
              <w:ind w:left="148"/>
              <w:rPr>
                <w:rFonts w:ascii="宋体" w:hAnsi="宋体" w:eastAsia="宋体" w:cs="宋体"/>
                <w:color w:val="auto"/>
                <w:sz w:val="24"/>
                <w:szCs w:val="24"/>
              </w:rPr>
            </w:pPr>
            <w:bookmarkStart w:id="92" w:name="_Toc21023"/>
            <w:r>
              <w:rPr>
                <w:rFonts w:ascii="宋体" w:hAnsi="宋体" w:eastAsia="宋体" w:cs="宋体"/>
                <w:color w:val="auto"/>
                <w:spacing w:val="-5"/>
                <w:sz w:val="24"/>
                <w:szCs w:val="24"/>
              </w:rPr>
              <w:t>序号</w:t>
            </w:r>
          </w:p>
        </w:tc>
        <w:tc>
          <w:tcPr>
            <w:tcW w:w="5007" w:type="dxa"/>
            <w:noWrap w:val="0"/>
            <w:vAlign w:val="top"/>
          </w:tcPr>
          <w:p w14:paraId="31B4B80E">
            <w:pPr>
              <w:spacing w:before="41" w:line="206" w:lineRule="auto"/>
              <w:ind w:left="2033"/>
              <w:rPr>
                <w:rFonts w:ascii="宋体" w:hAnsi="宋体" w:eastAsia="宋体" w:cs="宋体"/>
                <w:color w:val="auto"/>
                <w:sz w:val="24"/>
                <w:szCs w:val="24"/>
              </w:rPr>
            </w:pPr>
            <w:r>
              <w:rPr>
                <w:rFonts w:ascii="宋体" w:hAnsi="宋体" w:eastAsia="宋体" w:cs="宋体"/>
                <w:color w:val="auto"/>
                <w:spacing w:val="-4"/>
                <w:sz w:val="24"/>
                <w:szCs w:val="24"/>
              </w:rPr>
              <w:t>设备名称</w:t>
            </w:r>
          </w:p>
        </w:tc>
        <w:tc>
          <w:tcPr>
            <w:tcW w:w="960" w:type="dxa"/>
            <w:noWrap w:val="0"/>
            <w:vAlign w:val="top"/>
          </w:tcPr>
          <w:p w14:paraId="50828B27">
            <w:pPr>
              <w:spacing w:before="41" w:line="206" w:lineRule="auto"/>
              <w:ind w:left="250"/>
              <w:rPr>
                <w:rFonts w:ascii="宋体" w:hAnsi="宋体" w:eastAsia="宋体" w:cs="宋体"/>
                <w:color w:val="auto"/>
                <w:sz w:val="24"/>
                <w:szCs w:val="24"/>
              </w:rPr>
            </w:pPr>
            <w:r>
              <w:rPr>
                <w:rFonts w:ascii="宋体" w:hAnsi="宋体" w:eastAsia="宋体" w:cs="宋体"/>
                <w:color w:val="auto"/>
                <w:spacing w:val="-6"/>
                <w:sz w:val="24"/>
                <w:szCs w:val="24"/>
              </w:rPr>
              <w:t>数量</w:t>
            </w:r>
          </w:p>
        </w:tc>
        <w:tc>
          <w:tcPr>
            <w:tcW w:w="978" w:type="dxa"/>
            <w:noWrap w:val="0"/>
            <w:vAlign w:val="top"/>
          </w:tcPr>
          <w:p w14:paraId="06859D25">
            <w:pPr>
              <w:spacing w:before="41" w:line="206" w:lineRule="auto"/>
              <w:ind w:left="260"/>
              <w:rPr>
                <w:rFonts w:ascii="宋体" w:hAnsi="宋体" w:eastAsia="宋体" w:cs="宋体"/>
                <w:color w:val="auto"/>
                <w:sz w:val="24"/>
                <w:szCs w:val="24"/>
              </w:rPr>
            </w:pPr>
            <w:r>
              <w:rPr>
                <w:rFonts w:ascii="宋体" w:hAnsi="宋体" w:eastAsia="宋体" w:cs="宋体"/>
                <w:color w:val="auto"/>
                <w:spacing w:val="-6"/>
                <w:sz w:val="24"/>
                <w:szCs w:val="24"/>
              </w:rPr>
              <w:t>单位</w:t>
            </w:r>
          </w:p>
        </w:tc>
        <w:tc>
          <w:tcPr>
            <w:tcW w:w="1212" w:type="dxa"/>
            <w:noWrap w:val="0"/>
            <w:vAlign w:val="top"/>
          </w:tcPr>
          <w:p w14:paraId="0141E6B8">
            <w:pPr>
              <w:spacing w:before="41" w:line="206" w:lineRule="auto"/>
              <w:ind w:left="305"/>
              <w:rPr>
                <w:rFonts w:ascii="宋体" w:hAnsi="宋体" w:eastAsia="宋体" w:cs="宋体"/>
                <w:color w:val="auto"/>
                <w:sz w:val="24"/>
                <w:szCs w:val="24"/>
              </w:rPr>
            </w:pPr>
            <w:r>
              <w:rPr>
                <w:rFonts w:ascii="宋体" w:hAnsi="宋体" w:eastAsia="宋体" w:cs="宋体"/>
                <w:color w:val="auto"/>
                <w:spacing w:val="-7"/>
                <w:sz w:val="24"/>
                <w:szCs w:val="24"/>
              </w:rPr>
              <w:t>备注</w:t>
            </w:r>
          </w:p>
        </w:tc>
      </w:tr>
      <w:tr w14:paraId="2A246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4" w:type="dxa"/>
            <w:noWrap w:val="0"/>
            <w:vAlign w:val="top"/>
          </w:tcPr>
          <w:p w14:paraId="128E6AE4">
            <w:pPr>
              <w:spacing w:before="36" w:line="207" w:lineRule="auto"/>
              <w:ind w:left="346"/>
              <w:rPr>
                <w:rFonts w:ascii="宋体" w:hAnsi="宋体" w:eastAsia="宋体" w:cs="宋体"/>
                <w:color w:val="auto"/>
                <w:sz w:val="24"/>
                <w:szCs w:val="24"/>
              </w:rPr>
            </w:pPr>
            <w:r>
              <w:rPr>
                <w:rFonts w:ascii="宋体" w:hAnsi="宋体" w:eastAsia="宋体" w:cs="宋体"/>
                <w:color w:val="auto"/>
                <w:sz w:val="24"/>
                <w:szCs w:val="24"/>
              </w:rPr>
              <w:t>1</w:t>
            </w:r>
          </w:p>
        </w:tc>
        <w:tc>
          <w:tcPr>
            <w:tcW w:w="5007" w:type="dxa"/>
            <w:noWrap w:val="0"/>
            <w:vAlign w:val="top"/>
          </w:tcPr>
          <w:p w14:paraId="6B89B23D">
            <w:pPr>
              <w:spacing w:before="36" w:line="207" w:lineRule="auto"/>
              <w:ind w:left="830"/>
              <w:rPr>
                <w:rFonts w:ascii="宋体" w:hAnsi="宋体" w:eastAsia="宋体" w:cs="宋体"/>
                <w:color w:val="auto"/>
                <w:sz w:val="24"/>
                <w:szCs w:val="24"/>
              </w:rPr>
            </w:pPr>
            <w:r>
              <w:rPr>
                <w:rFonts w:ascii="宋体" w:hAnsi="宋体" w:eastAsia="宋体" w:cs="宋体"/>
                <w:color w:val="auto"/>
                <w:spacing w:val="-1"/>
                <w:sz w:val="24"/>
                <w:szCs w:val="24"/>
              </w:rPr>
              <w:t>虚拟仿真平台（配套课程资源）</w:t>
            </w:r>
          </w:p>
        </w:tc>
        <w:tc>
          <w:tcPr>
            <w:tcW w:w="960" w:type="dxa"/>
            <w:noWrap w:val="0"/>
            <w:vAlign w:val="top"/>
          </w:tcPr>
          <w:p w14:paraId="2FE6670B">
            <w:pPr>
              <w:spacing w:before="36" w:line="207" w:lineRule="auto"/>
              <w:ind w:left="446"/>
              <w:rPr>
                <w:rFonts w:ascii="宋体" w:hAnsi="宋体" w:eastAsia="宋体" w:cs="宋体"/>
                <w:color w:val="auto"/>
                <w:sz w:val="24"/>
                <w:szCs w:val="24"/>
              </w:rPr>
            </w:pPr>
            <w:r>
              <w:rPr>
                <w:rFonts w:ascii="宋体" w:hAnsi="宋体" w:eastAsia="宋体" w:cs="宋体"/>
                <w:color w:val="auto"/>
                <w:sz w:val="24"/>
                <w:szCs w:val="24"/>
              </w:rPr>
              <w:t>1</w:t>
            </w:r>
          </w:p>
        </w:tc>
        <w:tc>
          <w:tcPr>
            <w:tcW w:w="978" w:type="dxa"/>
            <w:noWrap w:val="0"/>
            <w:vAlign w:val="top"/>
          </w:tcPr>
          <w:p w14:paraId="227D6FBC">
            <w:pPr>
              <w:spacing w:before="36" w:line="207" w:lineRule="auto"/>
              <w:ind w:left="379"/>
              <w:rPr>
                <w:rFonts w:ascii="宋体" w:hAnsi="宋体" w:eastAsia="宋体" w:cs="宋体"/>
                <w:color w:val="auto"/>
                <w:sz w:val="24"/>
                <w:szCs w:val="24"/>
              </w:rPr>
            </w:pPr>
            <w:r>
              <w:rPr>
                <w:rFonts w:ascii="宋体" w:hAnsi="宋体" w:eastAsia="宋体" w:cs="宋体"/>
                <w:color w:val="auto"/>
                <w:sz w:val="24"/>
                <w:szCs w:val="24"/>
              </w:rPr>
              <w:t>套</w:t>
            </w:r>
          </w:p>
        </w:tc>
        <w:tc>
          <w:tcPr>
            <w:tcW w:w="1212" w:type="dxa"/>
            <w:noWrap w:val="0"/>
            <w:vAlign w:val="top"/>
          </w:tcPr>
          <w:p w14:paraId="2BC7CC67">
            <w:pPr>
              <w:spacing w:before="36" w:line="207" w:lineRule="auto"/>
              <w:jc w:val="center"/>
              <w:rPr>
                <w:rFonts w:hint="default" w:ascii="Arial" w:eastAsia="宋体"/>
                <w:color w:val="auto"/>
                <w:sz w:val="21"/>
                <w:lang w:val="en-US" w:eastAsia="zh-CN"/>
              </w:rPr>
            </w:pPr>
            <w:r>
              <w:rPr>
                <w:rFonts w:hint="eastAsia" w:ascii="宋体" w:hAnsi="宋体" w:eastAsia="宋体" w:cs="宋体"/>
                <w:color w:val="auto"/>
                <w:spacing w:val="-1"/>
                <w:sz w:val="24"/>
                <w:szCs w:val="24"/>
                <w:lang w:val="en-US" w:eastAsia="zh-CN"/>
              </w:rPr>
              <w:t>核心产品</w:t>
            </w:r>
          </w:p>
        </w:tc>
      </w:tr>
      <w:tr w14:paraId="2099A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64" w:type="dxa"/>
            <w:noWrap w:val="0"/>
            <w:vAlign w:val="top"/>
          </w:tcPr>
          <w:p w14:paraId="3D318F38">
            <w:pPr>
              <w:spacing w:before="37" w:line="206" w:lineRule="auto"/>
              <w:ind w:left="332"/>
              <w:rPr>
                <w:rFonts w:ascii="宋体" w:hAnsi="宋体" w:eastAsia="宋体" w:cs="宋体"/>
                <w:color w:val="auto"/>
                <w:sz w:val="24"/>
                <w:szCs w:val="24"/>
              </w:rPr>
            </w:pPr>
            <w:r>
              <w:rPr>
                <w:rFonts w:ascii="宋体" w:hAnsi="宋体" w:eastAsia="宋体" w:cs="宋体"/>
                <w:color w:val="auto"/>
                <w:sz w:val="24"/>
                <w:szCs w:val="24"/>
              </w:rPr>
              <w:t>2</w:t>
            </w:r>
          </w:p>
        </w:tc>
        <w:tc>
          <w:tcPr>
            <w:tcW w:w="5007" w:type="dxa"/>
            <w:noWrap w:val="0"/>
            <w:vAlign w:val="top"/>
          </w:tcPr>
          <w:p w14:paraId="3EE36556">
            <w:pPr>
              <w:spacing w:before="37" w:line="206" w:lineRule="auto"/>
              <w:ind w:left="1915"/>
              <w:rPr>
                <w:rFonts w:ascii="宋体" w:hAnsi="宋体" w:eastAsia="宋体" w:cs="宋体"/>
                <w:color w:val="auto"/>
                <w:sz w:val="24"/>
                <w:szCs w:val="24"/>
              </w:rPr>
            </w:pPr>
            <w:r>
              <w:rPr>
                <w:rFonts w:ascii="宋体" w:hAnsi="宋体" w:eastAsia="宋体" w:cs="宋体"/>
                <w:color w:val="auto"/>
                <w:spacing w:val="-4"/>
                <w:sz w:val="24"/>
                <w:szCs w:val="24"/>
              </w:rPr>
              <w:t>实训一体机</w:t>
            </w:r>
          </w:p>
        </w:tc>
        <w:tc>
          <w:tcPr>
            <w:tcW w:w="960" w:type="dxa"/>
            <w:noWrap w:val="0"/>
            <w:vAlign w:val="top"/>
          </w:tcPr>
          <w:p w14:paraId="37253D87">
            <w:pPr>
              <w:spacing w:before="37" w:line="206" w:lineRule="auto"/>
              <w:ind w:left="427"/>
              <w:rPr>
                <w:rFonts w:ascii="宋体" w:hAnsi="宋体" w:eastAsia="宋体" w:cs="宋体"/>
                <w:color w:val="auto"/>
                <w:sz w:val="24"/>
                <w:szCs w:val="24"/>
              </w:rPr>
            </w:pPr>
            <w:r>
              <w:rPr>
                <w:rFonts w:ascii="宋体" w:hAnsi="宋体" w:eastAsia="宋体" w:cs="宋体"/>
                <w:color w:val="auto"/>
                <w:sz w:val="24"/>
                <w:szCs w:val="24"/>
              </w:rPr>
              <w:t>4</w:t>
            </w:r>
          </w:p>
        </w:tc>
        <w:tc>
          <w:tcPr>
            <w:tcW w:w="978" w:type="dxa"/>
            <w:noWrap w:val="0"/>
            <w:vAlign w:val="top"/>
          </w:tcPr>
          <w:p w14:paraId="59CD9117">
            <w:pPr>
              <w:spacing w:before="37" w:line="206" w:lineRule="auto"/>
              <w:ind w:left="396"/>
              <w:rPr>
                <w:rFonts w:ascii="宋体" w:hAnsi="宋体" w:eastAsia="宋体" w:cs="宋体"/>
                <w:color w:val="auto"/>
                <w:sz w:val="24"/>
                <w:szCs w:val="24"/>
              </w:rPr>
            </w:pPr>
            <w:r>
              <w:rPr>
                <w:rFonts w:ascii="宋体" w:hAnsi="宋体" w:eastAsia="宋体" w:cs="宋体"/>
                <w:color w:val="auto"/>
                <w:sz w:val="24"/>
                <w:szCs w:val="24"/>
              </w:rPr>
              <w:t>台</w:t>
            </w:r>
          </w:p>
        </w:tc>
        <w:tc>
          <w:tcPr>
            <w:tcW w:w="1212" w:type="dxa"/>
            <w:noWrap w:val="0"/>
            <w:vAlign w:val="top"/>
          </w:tcPr>
          <w:p w14:paraId="05C50171">
            <w:pPr>
              <w:rPr>
                <w:rFonts w:ascii="Arial"/>
                <w:color w:val="auto"/>
                <w:sz w:val="21"/>
              </w:rPr>
            </w:pPr>
          </w:p>
        </w:tc>
      </w:tr>
      <w:tr w14:paraId="6E31B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64" w:type="dxa"/>
            <w:noWrap w:val="0"/>
            <w:vAlign w:val="top"/>
          </w:tcPr>
          <w:p w14:paraId="62D505E5">
            <w:pPr>
              <w:spacing w:before="38" w:line="208" w:lineRule="auto"/>
              <w:ind w:left="333"/>
              <w:rPr>
                <w:rFonts w:ascii="宋体" w:hAnsi="宋体" w:eastAsia="宋体" w:cs="宋体"/>
                <w:color w:val="auto"/>
                <w:sz w:val="24"/>
                <w:szCs w:val="24"/>
              </w:rPr>
            </w:pPr>
            <w:r>
              <w:rPr>
                <w:rFonts w:ascii="宋体" w:hAnsi="宋体" w:eastAsia="宋体" w:cs="宋体"/>
                <w:color w:val="auto"/>
                <w:sz w:val="24"/>
                <w:szCs w:val="24"/>
              </w:rPr>
              <w:t>3</w:t>
            </w:r>
          </w:p>
        </w:tc>
        <w:tc>
          <w:tcPr>
            <w:tcW w:w="5007" w:type="dxa"/>
            <w:noWrap w:val="0"/>
            <w:vAlign w:val="top"/>
          </w:tcPr>
          <w:p w14:paraId="750F163E">
            <w:pPr>
              <w:spacing w:before="38" w:line="208" w:lineRule="auto"/>
              <w:ind w:left="1555"/>
              <w:rPr>
                <w:rFonts w:ascii="宋体" w:hAnsi="宋体" w:eastAsia="宋体" w:cs="宋体"/>
                <w:color w:val="auto"/>
                <w:sz w:val="24"/>
                <w:szCs w:val="24"/>
              </w:rPr>
            </w:pPr>
            <w:r>
              <w:rPr>
                <w:rFonts w:ascii="宋体" w:hAnsi="宋体" w:eastAsia="宋体" w:cs="宋体"/>
                <w:color w:val="auto"/>
                <w:spacing w:val="-2"/>
                <w:sz w:val="24"/>
                <w:szCs w:val="24"/>
              </w:rPr>
              <w:t>实训一体机交换机</w:t>
            </w:r>
          </w:p>
        </w:tc>
        <w:tc>
          <w:tcPr>
            <w:tcW w:w="960" w:type="dxa"/>
            <w:noWrap w:val="0"/>
            <w:vAlign w:val="top"/>
          </w:tcPr>
          <w:p w14:paraId="26175B13">
            <w:pPr>
              <w:spacing w:before="38" w:line="208" w:lineRule="auto"/>
              <w:ind w:left="431"/>
              <w:rPr>
                <w:rFonts w:ascii="宋体" w:hAnsi="宋体" w:eastAsia="宋体" w:cs="宋体"/>
                <w:color w:val="auto"/>
                <w:sz w:val="24"/>
                <w:szCs w:val="24"/>
              </w:rPr>
            </w:pPr>
            <w:r>
              <w:rPr>
                <w:rFonts w:ascii="宋体" w:hAnsi="宋体" w:eastAsia="宋体" w:cs="宋体"/>
                <w:color w:val="auto"/>
                <w:sz w:val="24"/>
                <w:szCs w:val="24"/>
              </w:rPr>
              <w:t>2</w:t>
            </w:r>
          </w:p>
        </w:tc>
        <w:tc>
          <w:tcPr>
            <w:tcW w:w="978" w:type="dxa"/>
            <w:noWrap w:val="0"/>
            <w:vAlign w:val="top"/>
          </w:tcPr>
          <w:p w14:paraId="2B8B5567">
            <w:pPr>
              <w:spacing w:before="38" w:line="208" w:lineRule="auto"/>
              <w:ind w:left="396"/>
              <w:rPr>
                <w:rFonts w:ascii="宋体" w:hAnsi="宋体" w:eastAsia="宋体" w:cs="宋体"/>
                <w:color w:val="auto"/>
                <w:sz w:val="24"/>
                <w:szCs w:val="24"/>
              </w:rPr>
            </w:pPr>
            <w:r>
              <w:rPr>
                <w:rFonts w:ascii="宋体" w:hAnsi="宋体" w:eastAsia="宋体" w:cs="宋体"/>
                <w:color w:val="auto"/>
                <w:sz w:val="24"/>
                <w:szCs w:val="24"/>
              </w:rPr>
              <w:t>台</w:t>
            </w:r>
          </w:p>
        </w:tc>
        <w:tc>
          <w:tcPr>
            <w:tcW w:w="1212" w:type="dxa"/>
            <w:noWrap w:val="0"/>
            <w:vAlign w:val="top"/>
          </w:tcPr>
          <w:p w14:paraId="0AC160EA">
            <w:pPr>
              <w:rPr>
                <w:rFonts w:ascii="Arial"/>
                <w:color w:val="auto"/>
                <w:sz w:val="21"/>
              </w:rPr>
            </w:pPr>
          </w:p>
        </w:tc>
      </w:tr>
    </w:tbl>
    <w:p w14:paraId="00E0D3CB">
      <w:pPr>
        <w:widowControl/>
        <w:spacing w:line="240" w:lineRule="atLeast"/>
        <w:jc w:val="center"/>
        <w:outlineLvl w:val="0"/>
        <w:rPr>
          <w:rFonts w:hint="eastAsia" w:ascii="宋体" w:hAnsi="宋体" w:cs="宋体"/>
          <w:b/>
          <w:bCs/>
          <w:color w:val="auto"/>
        </w:rPr>
      </w:pPr>
    </w:p>
    <w:p w14:paraId="1F44A990">
      <w:pPr>
        <w:widowControl/>
        <w:spacing w:line="240" w:lineRule="atLeast"/>
        <w:jc w:val="both"/>
        <w:outlineLvl w:val="0"/>
        <w:rPr>
          <w:rFonts w:hint="eastAsia" w:ascii="宋体" w:hAnsi="宋体" w:cs="宋体"/>
          <w:b/>
          <w:bCs/>
          <w:color w:val="auto"/>
        </w:rPr>
      </w:pPr>
    </w:p>
    <w:p w14:paraId="5690224F">
      <w:pPr>
        <w:widowControl/>
        <w:spacing w:line="240" w:lineRule="atLeast"/>
        <w:jc w:val="both"/>
        <w:outlineLvl w:val="0"/>
        <w:rPr>
          <w:rFonts w:hint="eastAsia" w:ascii="宋体" w:hAnsi="宋体" w:cs="宋体"/>
          <w:b/>
          <w:bCs/>
          <w:color w:val="auto"/>
        </w:rPr>
      </w:pPr>
    </w:p>
    <w:p w14:paraId="7B9FF09C">
      <w:pPr>
        <w:widowControl/>
        <w:spacing w:line="240" w:lineRule="atLeast"/>
        <w:jc w:val="both"/>
        <w:outlineLvl w:val="0"/>
        <w:rPr>
          <w:rFonts w:hint="eastAsia" w:ascii="宋体" w:hAnsi="宋体" w:cs="宋体"/>
          <w:b/>
          <w:bCs/>
          <w:color w:val="auto"/>
        </w:rPr>
      </w:pPr>
    </w:p>
    <w:p w14:paraId="7BB908BA">
      <w:pPr>
        <w:widowControl/>
        <w:spacing w:line="240" w:lineRule="atLeast"/>
        <w:jc w:val="both"/>
        <w:outlineLvl w:val="0"/>
        <w:rPr>
          <w:rFonts w:hint="eastAsia" w:ascii="宋体" w:hAnsi="宋体" w:cs="宋体"/>
          <w:b/>
          <w:bCs/>
          <w:color w:val="auto"/>
        </w:rPr>
      </w:pPr>
    </w:p>
    <w:p w14:paraId="7E82E1BD">
      <w:pPr>
        <w:widowControl/>
        <w:spacing w:line="240" w:lineRule="atLeast"/>
        <w:jc w:val="both"/>
        <w:outlineLvl w:val="0"/>
        <w:rPr>
          <w:rFonts w:hint="eastAsia" w:ascii="宋体" w:hAnsi="宋体" w:cs="宋体"/>
          <w:b/>
          <w:bCs/>
          <w:color w:val="auto"/>
        </w:rPr>
      </w:pPr>
    </w:p>
    <w:p w14:paraId="51751D60">
      <w:pPr>
        <w:widowControl/>
        <w:spacing w:line="240" w:lineRule="atLeast"/>
        <w:jc w:val="both"/>
        <w:outlineLvl w:val="0"/>
        <w:rPr>
          <w:rFonts w:hint="eastAsia" w:ascii="宋体" w:hAnsi="宋体" w:cs="宋体"/>
          <w:b/>
          <w:bCs/>
          <w:color w:val="auto"/>
        </w:rPr>
      </w:pPr>
    </w:p>
    <w:p w14:paraId="4356BF12">
      <w:pPr>
        <w:widowControl/>
        <w:spacing w:line="240" w:lineRule="atLeast"/>
        <w:jc w:val="both"/>
        <w:outlineLvl w:val="0"/>
        <w:rPr>
          <w:rFonts w:hint="eastAsia" w:ascii="宋体" w:hAnsi="宋体" w:cs="宋体"/>
          <w:b/>
          <w:bCs/>
          <w:color w:val="auto"/>
        </w:rPr>
      </w:pPr>
    </w:p>
    <w:p w14:paraId="2E9D8F24">
      <w:pPr>
        <w:widowControl/>
        <w:spacing w:line="240" w:lineRule="atLeast"/>
        <w:jc w:val="both"/>
        <w:outlineLvl w:val="0"/>
        <w:rPr>
          <w:rFonts w:hint="eastAsia" w:ascii="宋体" w:hAnsi="宋体" w:cs="宋体"/>
          <w:b/>
          <w:bCs/>
          <w:color w:val="auto"/>
        </w:rPr>
      </w:pPr>
    </w:p>
    <w:p w14:paraId="560C4EE1">
      <w:pPr>
        <w:widowControl/>
        <w:spacing w:line="240" w:lineRule="atLeast"/>
        <w:jc w:val="both"/>
        <w:outlineLvl w:val="0"/>
        <w:rPr>
          <w:rFonts w:hint="eastAsia" w:ascii="宋体" w:hAnsi="宋体" w:cs="宋体"/>
          <w:b/>
          <w:bCs/>
          <w:color w:val="auto"/>
        </w:rPr>
      </w:pPr>
    </w:p>
    <w:p w14:paraId="74A19809">
      <w:pPr>
        <w:widowControl/>
        <w:spacing w:line="240" w:lineRule="atLeast"/>
        <w:jc w:val="both"/>
        <w:outlineLvl w:val="0"/>
        <w:rPr>
          <w:rFonts w:hint="eastAsia" w:ascii="宋体" w:hAnsi="宋体" w:cs="宋体"/>
          <w:b/>
          <w:bCs/>
          <w:color w:val="auto"/>
        </w:rPr>
      </w:pPr>
    </w:p>
    <w:p w14:paraId="1D67B008">
      <w:pPr>
        <w:widowControl/>
        <w:spacing w:line="240" w:lineRule="atLeast"/>
        <w:jc w:val="both"/>
        <w:outlineLvl w:val="0"/>
        <w:rPr>
          <w:rFonts w:hint="eastAsia" w:ascii="宋体" w:hAnsi="宋体" w:cs="宋体"/>
          <w:b/>
          <w:bCs/>
          <w:color w:val="auto"/>
        </w:rPr>
      </w:pPr>
    </w:p>
    <w:p w14:paraId="126D696C">
      <w:pPr>
        <w:widowControl/>
        <w:spacing w:line="240" w:lineRule="atLeast"/>
        <w:jc w:val="both"/>
        <w:outlineLvl w:val="0"/>
        <w:rPr>
          <w:rFonts w:hint="eastAsia" w:ascii="宋体" w:hAnsi="宋体" w:cs="宋体"/>
          <w:b/>
          <w:bCs/>
          <w:color w:val="auto"/>
        </w:rPr>
      </w:pPr>
    </w:p>
    <w:p w14:paraId="01956D38">
      <w:pPr>
        <w:widowControl/>
        <w:spacing w:line="240" w:lineRule="atLeast"/>
        <w:jc w:val="both"/>
        <w:outlineLvl w:val="0"/>
        <w:rPr>
          <w:rFonts w:hint="eastAsia" w:ascii="宋体" w:hAnsi="宋体" w:cs="宋体"/>
          <w:b/>
          <w:bCs/>
          <w:color w:val="auto"/>
        </w:rPr>
      </w:pPr>
    </w:p>
    <w:p w14:paraId="6A87887C">
      <w:pPr>
        <w:widowControl/>
        <w:spacing w:line="240" w:lineRule="atLeast"/>
        <w:jc w:val="both"/>
        <w:outlineLvl w:val="0"/>
        <w:rPr>
          <w:rFonts w:hint="eastAsia" w:ascii="宋体" w:hAnsi="宋体" w:cs="宋体"/>
          <w:b/>
          <w:bCs/>
          <w:color w:val="auto"/>
        </w:rPr>
      </w:pPr>
    </w:p>
    <w:p w14:paraId="64C0AC43">
      <w:pPr>
        <w:widowControl/>
        <w:spacing w:line="240" w:lineRule="atLeast"/>
        <w:jc w:val="both"/>
        <w:outlineLvl w:val="0"/>
        <w:rPr>
          <w:rFonts w:hint="eastAsia" w:ascii="宋体" w:hAnsi="宋体" w:cs="宋体"/>
          <w:b/>
          <w:bCs/>
          <w:color w:val="auto"/>
        </w:rPr>
      </w:pPr>
    </w:p>
    <w:p w14:paraId="30DF47D8">
      <w:pPr>
        <w:widowControl/>
        <w:spacing w:line="240" w:lineRule="atLeast"/>
        <w:jc w:val="both"/>
        <w:outlineLvl w:val="0"/>
        <w:rPr>
          <w:rFonts w:hint="eastAsia" w:ascii="宋体" w:hAnsi="宋体" w:cs="宋体"/>
          <w:b/>
          <w:bCs/>
          <w:color w:val="auto"/>
        </w:rPr>
      </w:pPr>
    </w:p>
    <w:p w14:paraId="76C61253">
      <w:pPr>
        <w:widowControl/>
        <w:spacing w:line="240" w:lineRule="atLeast"/>
        <w:jc w:val="both"/>
        <w:outlineLvl w:val="0"/>
        <w:rPr>
          <w:rFonts w:hint="eastAsia" w:ascii="宋体" w:hAnsi="宋体" w:cs="宋体"/>
          <w:b/>
          <w:bCs/>
          <w:color w:val="auto"/>
        </w:rPr>
      </w:pPr>
    </w:p>
    <w:p w14:paraId="15082572">
      <w:pPr>
        <w:widowControl/>
        <w:spacing w:line="240" w:lineRule="atLeast"/>
        <w:jc w:val="both"/>
        <w:outlineLvl w:val="0"/>
        <w:rPr>
          <w:rFonts w:hint="eastAsia" w:ascii="宋体" w:hAnsi="宋体" w:cs="宋体"/>
          <w:b/>
          <w:bCs/>
          <w:color w:val="auto"/>
        </w:rPr>
      </w:pPr>
    </w:p>
    <w:p w14:paraId="5AF361DD">
      <w:pPr>
        <w:widowControl/>
        <w:spacing w:line="240" w:lineRule="atLeast"/>
        <w:jc w:val="both"/>
        <w:outlineLvl w:val="0"/>
        <w:rPr>
          <w:rFonts w:hint="eastAsia" w:ascii="宋体" w:hAnsi="宋体" w:cs="宋体"/>
          <w:b/>
          <w:bCs/>
          <w:color w:val="auto"/>
        </w:rPr>
      </w:pPr>
    </w:p>
    <w:p w14:paraId="52596469">
      <w:pPr>
        <w:widowControl/>
        <w:spacing w:line="240" w:lineRule="atLeast"/>
        <w:jc w:val="both"/>
        <w:outlineLvl w:val="0"/>
        <w:rPr>
          <w:rFonts w:hint="eastAsia" w:ascii="宋体" w:hAnsi="宋体" w:cs="宋体"/>
          <w:b/>
          <w:bCs/>
          <w:color w:val="auto"/>
        </w:rPr>
      </w:pPr>
    </w:p>
    <w:p w14:paraId="1B85EF75">
      <w:pPr>
        <w:widowControl/>
        <w:spacing w:line="240" w:lineRule="atLeast"/>
        <w:jc w:val="both"/>
        <w:outlineLvl w:val="0"/>
        <w:rPr>
          <w:rFonts w:hint="eastAsia" w:ascii="宋体" w:hAnsi="宋体" w:cs="宋体"/>
          <w:b/>
          <w:bCs/>
          <w:color w:val="auto"/>
        </w:rPr>
      </w:pPr>
    </w:p>
    <w:p w14:paraId="4033DBE9">
      <w:pPr>
        <w:widowControl/>
        <w:spacing w:line="240" w:lineRule="atLeast"/>
        <w:jc w:val="both"/>
        <w:outlineLvl w:val="0"/>
        <w:rPr>
          <w:rFonts w:hint="eastAsia" w:ascii="宋体" w:hAnsi="宋体" w:cs="宋体"/>
          <w:b/>
          <w:bCs/>
          <w:color w:val="auto"/>
        </w:rPr>
      </w:pPr>
    </w:p>
    <w:p w14:paraId="389F87EE">
      <w:pPr>
        <w:widowControl/>
        <w:spacing w:line="240" w:lineRule="atLeast"/>
        <w:jc w:val="both"/>
        <w:outlineLvl w:val="0"/>
        <w:rPr>
          <w:rFonts w:hint="eastAsia" w:ascii="宋体" w:hAnsi="宋体" w:cs="宋体"/>
          <w:b/>
          <w:bCs/>
          <w:color w:val="auto"/>
        </w:rPr>
      </w:pPr>
    </w:p>
    <w:p w14:paraId="57552C29">
      <w:pPr>
        <w:widowControl/>
        <w:spacing w:line="240" w:lineRule="atLeast"/>
        <w:jc w:val="both"/>
        <w:outlineLvl w:val="0"/>
        <w:rPr>
          <w:rFonts w:hint="eastAsia" w:ascii="宋体" w:hAnsi="宋体" w:cs="宋体"/>
          <w:b/>
          <w:bCs/>
          <w:color w:val="auto"/>
        </w:rPr>
      </w:pPr>
    </w:p>
    <w:p w14:paraId="02BBFF57">
      <w:pPr>
        <w:widowControl/>
        <w:spacing w:line="240" w:lineRule="atLeast"/>
        <w:jc w:val="both"/>
        <w:outlineLvl w:val="0"/>
        <w:rPr>
          <w:rFonts w:hint="eastAsia" w:ascii="宋体" w:hAnsi="宋体" w:cs="宋体"/>
          <w:b/>
          <w:bCs/>
          <w:color w:val="auto"/>
        </w:rPr>
      </w:pPr>
    </w:p>
    <w:p w14:paraId="7104C18A">
      <w:pPr>
        <w:widowControl/>
        <w:spacing w:line="240" w:lineRule="atLeast"/>
        <w:jc w:val="both"/>
        <w:outlineLvl w:val="0"/>
        <w:rPr>
          <w:rFonts w:hint="eastAsia" w:ascii="宋体" w:hAnsi="宋体" w:cs="宋体"/>
          <w:b/>
          <w:bCs/>
          <w:color w:val="auto"/>
        </w:rPr>
      </w:pPr>
    </w:p>
    <w:p w14:paraId="7E666149">
      <w:pPr>
        <w:widowControl/>
        <w:spacing w:line="240" w:lineRule="atLeast"/>
        <w:jc w:val="both"/>
        <w:outlineLvl w:val="0"/>
        <w:rPr>
          <w:rFonts w:hint="eastAsia" w:ascii="宋体" w:hAnsi="宋体" w:cs="宋体"/>
          <w:b/>
          <w:bCs/>
          <w:color w:val="auto"/>
        </w:rPr>
      </w:pPr>
    </w:p>
    <w:p w14:paraId="566C832B">
      <w:pPr>
        <w:widowControl/>
        <w:spacing w:line="240" w:lineRule="atLeast"/>
        <w:jc w:val="both"/>
        <w:outlineLvl w:val="0"/>
        <w:rPr>
          <w:rFonts w:hint="eastAsia" w:ascii="宋体" w:hAnsi="宋体" w:cs="宋体"/>
          <w:b/>
          <w:bCs/>
          <w:color w:val="auto"/>
        </w:rPr>
      </w:pPr>
    </w:p>
    <w:p w14:paraId="49923DEA">
      <w:pPr>
        <w:widowControl/>
        <w:spacing w:line="240" w:lineRule="atLeast"/>
        <w:jc w:val="both"/>
        <w:outlineLvl w:val="0"/>
        <w:rPr>
          <w:rFonts w:hint="eastAsia" w:ascii="宋体" w:hAnsi="宋体" w:cs="宋体"/>
          <w:b/>
          <w:bCs/>
          <w:color w:val="auto"/>
        </w:rPr>
      </w:pPr>
    </w:p>
    <w:p w14:paraId="151AE907">
      <w:pPr>
        <w:widowControl/>
        <w:spacing w:line="240" w:lineRule="atLeast"/>
        <w:jc w:val="both"/>
        <w:outlineLvl w:val="0"/>
        <w:rPr>
          <w:rFonts w:hint="eastAsia" w:ascii="宋体" w:hAnsi="宋体" w:cs="宋体"/>
          <w:b/>
          <w:bCs/>
          <w:color w:val="auto"/>
        </w:rPr>
      </w:pPr>
    </w:p>
    <w:p w14:paraId="316FF9A1">
      <w:pPr>
        <w:widowControl/>
        <w:spacing w:line="240" w:lineRule="atLeast"/>
        <w:jc w:val="both"/>
        <w:outlineLvl w:val="0"/>
        <w:rPr>
          <w:rFonts w:hint="eastAsia" w:ascii="宋体" w:hAnsi="宋体" w:cs="宋体"/>
          <w:b/>
          <w:bCs/>
          <w:color w:val="auto"/>
        </w:rPr>
      </w:pPr>
    </w:p>
    <w:p w14:paraId="3032E825">
      <w:pPr>
        <w:widowControl/>
        <w:spacing w:line="240" w:lineRule="atLeast"/>
        <w:jc w:val="both"/>
        <w:outlineLvl w:val="0"/>
        <w:rPr>
          <w:rFonts w:hint="eastAsia" w:ascii="宋体" w:hAnsi="宋体" w:cs="宋体"/>
          <w:b/>
          <w:bCs/>
          <w:color w:val="auto"/>
        </w:rPr>
      </w:pPr>
    </w:p>
    <w:p w14:paraId="512B6CF1">
      <w:pPr>
        <w:widowControl/>
        <w:spacing w:line="240" w:lineRule="atLeast"/>
        <w:jc w:val="both"/>
        <w:outlineLvl w:val="0"/>
        <w:rPr>
          <w:rFonts w:hint="eastAsia" w:ascii="宋体" w:hAnsi="宋体" w:cs="宋体"/>
          <w:b/>
          <w:bCs/>
          <w:color w:val="auto"/>
        </w:rPr>
      </w:pPr>
    </w:p>
    <w:p w14:paraId="481B61A4">
      <w:pPr>
        <w:widowControl/>
        <w:spacing w:line="240" w:lineRule="atLeast"/>
        <w:jc w:val="both"/>
        <w:outlineLvl w:val="0"/>
        <w:rPr>
          <w:rFonts w:hint="eastAsia" w:ascii="宋体" w:hAnsi="宋体" w:cs="宋体"/>
          <w:b/>
          <w:bCs/>
          <w:color w:val="auto"/>
        </w:rPr>
      </w:pPr>
    </w:p>
    <w:p w14:paraId="1BC51804">
      <w:pPr>
        <w:widowControl/>
        <w:spacing w:line="240" w:lineRule="atLeast"/>
        <w:jc w:val="both"/>
        <w:outlineLvl w:val="0"/>
        <w:rPr>
          <w:rFonts w:hint="eastAsia" w:ascii="宋体" w:hAnsi="宋体" w:cs="宋体"/>
          <w:b/>
          <w:bCs/>
          <w:color w:val="auto"/>
        </w:rPr>
      </w:pPr>
    </w:p>
    <w:p w14:paraId="6EBA1016">
      <w:pPr>
        <w:spacing w:before="138" w:line="225" w:lineRule="auto"/>
        <w:ind w:left="3680"/>
        <w:rPr>
          <w:rFonts w:ascii="宋体" w:hAnsi="宋体" w:eastAsia="宋体" w:cs="宋体"/>
          <w:spacing w:val="6"/>
          <w:sz w:val="35"/>
          <w:szCs w:val="35"/>
        </w:rPr>
      </w:pPr>
      <w:r>
        <w:rPr>
          <w:rFonts w:ascii="宋体" w:hAnsi="宋体" w:eastAsia="宋体" w:cs="宋体"/>
          <w:spacing w:val="6"/>
          <w:sz w:val="35"/>
          <w:szCs w:val="35"/>
        </w:rPr>
        <w:t>技术参数</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7"/>
        <w:gridCol w:w="744"/>
        <w:gridCol w:w="5568"/>
        <w:gridCol w:w="768"/>
        <w:gridCol w:w="712"/>
      </w:tblGrid>
      <w:tr w14:paraId="17C45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426" w:type="pct"/>
            <w:tcBorders>
              <w:top w:val="single" w:color="000000" w:sz="8" w:space="0"/>
              <w:left w:val="single" w:color="000000" w:sz="8" w:space="0"/>
              <w:bottom w:val="single" w:color="000000" w:sz="8" w:space="0"/>
              <w:right w:val="single" w:color="000000" w:sz="8" w:space="0"/>
            </w:tcBorders>
            <w:shd w:val="clear" w:color="auto" w:fill="BEBEBE"/>
            <w:vAlign w:val="center"/>
          </w:tcPr>
          <w:p w14:paraId="7B4209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36" w:type="pct"/>
            <w:tcBorders>
              <w:top w:val="single" w:color="000000" w:sz="8" w:space="0"/>
              <w:left w:val="single" w:color="000000" w:sz="8" w:space="0"/>
              <w:bottom w:val="single" w:color="000000" w:sz="8" w:space="0"/>
              <w:right w:val="single" w:color="000000" w:sz="8" w:space="0"/>
            </w:tcBorders>
            <w:shd w:val="clear" w:color="auto" w:fill="BEBEBE"/>
            <w:vAlign w:val="center"/>
          </w:tcPr>
          <w:p w14:paraId="3DD8CC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3267" w:type="pct"/>
            <w:tcBorders>
              <w:top w:val="single" w:color="000000" w:sz="8" w:space="0"/>
              <w:left w:val="single" w:color="000000" w:sz="8" w:space="0"/>
              <w:bottom w:val="single" w:color="000000" w:sz="8" w:space="0"/>
              <w:right w:val="single" w:color="000000" w:sz="8" w:space="0"/>
            </w:tcBorders>
            <w:shd w:val="clear" w:color="auto" w:fill="BEBEBE"/>
            <w:vAlign w:val="center"/>
          </w:tcPr>
          <w:p w14:paraId="30C187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产品参数</w:t>
            </w:r>
          </w:p>
        </w:tc>
        <w:tc>
          <w:tcPr>
            <w:tcW w:w="450" w:type="pct"/>
            <w:tcBorders>
              <w:top w:val="single" w:color="000000" w:sz="8" w:space="0"/>
              <w:left w:val="single" w:color="000000" w:sz="8" w:space="0"/>
              <w:bottom w:val="single" w:color="000000" w:sz="8" w:space="0"/>
              <w:right w:val="single" w:color="000000" w:sz="8" w:space="0"/>
            </w:tcBorders>
            <w:shd w:val="clear" w:color="auto" w:fill="BEBEBE"/>
            <w:vAlign w:val="center"/>
          </w:tcPr>
          <w:p w14:paraId="766EDD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总数量</w:t>
            </w:r>
          </w:p>
        </w:tc>
        <w:tc>
          <w:tcPr>
            <w:tcW w:w="417" w:type="pct"/>
            <w:tcBorders>
              <w:top w:val="single" w:color="000000" w:sz="8" w:space="0"/>
              <w:left w:val="single" w:color="000000" w:sz="8" w:space="0"/>
              <w:bottom w:val="single" w:color="000000" w:sz="8" w:space="0"/>
              <w:right w:val="single" w:color="000000" w:sz="8" w:space="0"/>
            </w:tcBorders>
            <w:shd w:val="clear" w:color="auto" w:fill="BEBEBE"/>
            <w:vAlign w:val="center"/>
          </w:tcPr>
          <w:p w14:paraId="718561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w:t>
            </w:r>
            <w:r>
              <w:rPr>
                <w:rStyle w:val="63"/>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位</w:t>
            </w:r>
          </w:p>
        </w:tc>
      </w:tr>
      <w:tr w14:paraId="682C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4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B8D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3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0FF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虚拟仿真平台</w:t>
            </w:r>
          </w:p>
        </w:tc>
        <w:tc>
          <w:tcPr>
            <w:tcW w:w="326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88B4C9">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虚拟仿真平台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1.▲虚拟仿真平台</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智慧学习模块、实验训练模块、教学管理模块、项目管理模块、课程管理模块、靶场编辑模块、考试管理模块、系统管理模块功能，提供≥100人并发授权，提供大于等于3年软件升级服务；（提供承诺函</w:t>
            </w:r>
            <w:r>
              <w:rPr>
                <w:rFonts w:hint="eastAsia" w:ascii="宋体" w:hAnsi="宋体" w:cs="宋体"/>
                <w:i w:val="0"/>
                <w:iCs w:val="0"/>
                <w:color w:val="000000"/>
                <w:kern w:val="0"/>
                <w:sz w:val="24"/>
                <w:szCs w:val="24"/>
                <w:u w:val="none"/>
                <w:lang w:val="en-US" w:eastAsia="zh-CN" w:bidi="ar"/>
              </w:rPr>
              <w:t>并加盖厂商公章</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展示学生学习数据</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包括学习时长、学习中心、实验训练、测试练习、答疑互动信息；支持动态展示学生学习数据，可根据学员学习画像数据，联动就业资源服务板块；支持体系化课程能力，展示体系化专业课程学习路径，支持选修、必修课程设置；支持视频、讲义、实验、测试、考试，至少5种课件资源组合；（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3.配备学生实训资源展示</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，包括总实验数量、已完成数量、未开始数量、进行中数量，支持按实训阶段动态展示具体实验任务，实验任务展示名称、难度、报告状态、时长、实验时间、评分信息；（需提供产品功能截图）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4.▲配备实验仿真网络拓扑展示</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，启动实验成功后，支持拓扑终端靶标操作，遇到实验问题，支持实验举手操作；（需提供产品功能截图）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终端控制台操作</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，拓扑中支持大于等于3个终端靶标存在（包括但不限于windows操作机、Kali操作机、实训专用靶机、常见linux操作系统靶标），支持B/S或SSH方式登录访问虚拟机终端，进行虚拟机相关操作；（需提供产品功能截图）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配备实训数字大屏模块，实时呈现执教班级学生在线状态、实验状态，并可通过在线协助、结束实验操作进行实训管理，提供实验批改、在线答疑教学活动快捷入口，自动统计班级学生到课率、实验完成率、课程完成率；（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7.配备项目班级进度管理模块，可根据学习进度灵活配置学习任务板块的启用或停用状态，完成任务板块管控后可按需向学员批量发布对应课程实训任务；（需提供产品功能截图）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8.配备创建课程模块，支持关联至少5种格式课件，包</w:t>
            </w:r>
            <w:r>
              <w:rPr>
                <w:rFonts w:hint="eastAsia" w:ascii="宋体" w:hAnsi="宋体" w:cs="宋体"/>
                <w:i w:val="0"/>
                <w:iCs w:val="0"/>
                <w:color w:val="000000"/>
                <w:kern w:val="0"/>
                <w:sz w:val="24"/>
                <w:szCs w:val="24"/>
                <w:u w:val="none"/>
                <w:lang w:val="en-US" w:eastAsia="zh-CN" w:bidi="ar"/>
              </w:rPr>
              <w:t>括但</w:t>
            </w:r>
            <w:r>
              <w:rPr>
                <w:rFonts w:hint="eastAsia" w:ascii="宋体" w:hAnsi="宋体" w:eastAsia="宋体" w:cs="宋体"/>
                <w:i w:val="0"/>
                <w:iCs w:val="0"/>
                <w:color w:val="000000"/>
                <w:kern w:val="0"/>
                <w:sz w:val="24"/>
                <w:szCs w:val="24"/>
                <w:u w:val="none"/>
                <w:lang w:val="en-US" w:eastAsia="zh-CN" w:bidi="ar"/>
              </w:rPr>
              <w:t>不限于视频、讲义、实验、测试、考试、资料课件形式；（需提供产品功能截图）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9.配备靶标模板管理模块，支持靶标字典至少10种靶标，包</w:t>
            </w:r>
            <w:r>
              <w:rPr>
                <w:rFonts w:hint="eastAsia" w:ascii="宋体" w:hAnsi="宋体" w:cs="宋体"/>
                <w:i w:val="0"/>
                <w:iCs w:val="0"/>
                <w:color w:val="000000"/>
                <w:kern w:val="0"/>
                <w:sz w:val="24"/>
                <w:szCs w:val="24"/>
                <w:u w:val="none"/>
                <w:lang w:val="en-US" w:eastAsia="zh-CN" w:bidi="ar"/>
              </w:rPr>
              <w:t>括但</w:t>
            </w:r>
            <w:r>
              <w:rPr>
                <w:rFonts w:hint="eastAsia" w:ascii="宋体" w:hAnsi="宋体" w:eastAsia="宋体" w:cs="宋体"/>
                <w:i w:val="0"/>
                <w:iCs w:val="0"/>
                <w:color w:val="000000"/>
                <w:kern w:val="0"/>
                <w:sz w:val="24"/>
                <w:szCs w:val="24"/>
                <w:u w:val="none"/>
                <w:lang w:val="en-US" w:eastAsia="zh-CN" w:bidi="ar"/>
              </w:rPr>
              <w:t>不限于访问者、实训平台、笔记本、台式机、服务器、手机、摄像头、交换机、路由器、无线AP、应用负载、公有网络、私有网络、防火墙、上网行为管理、VPN；（需提供产品功能截图）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备靶场演练全流程管理模块，要求具备实训任务预编排能力，提前创建实验任务主机，支持配置实验、开始时间、持续时间、启动数量、重复次数信息，自动提示资源可用额度以及最大启动数量；（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11.配备考试模块包括但不限于统一考试和即时考试两种形式，可绑定理论试卷、实验试卷其中一种或两种的组合；（需提供产品功能截图）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12.配备考试防作弊功能模块，可定义切屏限制次数，达到上限系统自动为用户提交试卷；（需提供产品功能截图）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配备平台系统态势展示模块，实时展现平台注册人数、在线人数，统计平台课件资源专业数量、课程数量、讲义数量、视频数量、实验靶场数量、测试考试数量，展示题库资源数量，包含单选题、多选题、判断题、简答题、实验题资源数量。同时支持平台虚拟化资源统计，包含虚拟机数量、CPU、内存、磁盘信息，支持一键回收资源和关机操作；（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14.配备多租户管理模块，支持靶场环境配置，包括但不限于计算、存储、私有镜像、备份空间信息；（需提供产品功能截图）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二、网络安全技术靶场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1.▲提供符合高校人才培养理念的网络安全攻防专业课程资源包≥25套，环境资源需求不低于18C 60G，专业课程资源包括通识基础课程、专业核心课程、专业进阶课程、综合应用课程；(提供承诺函</w:t>
            </w:r>
            <w:r>
              <w:rPr>
                <w:rFonts w:hint="eastAsia" w:ascii="宋体" w:hAnsi="宋体" w:cs="宋体"/>
                <w:i w:val="0"/>
                <w:iCs w:val="0"/>
                <w:color w:val="000000"/>
                <w:kern w:val="0"/>
                <w:sz w:val="24"/>
                <w:szCs w:val="24"/>
                <w:u w:val="none"/>
                <w:lang w:val="en-US" w:eastAsia="zh-CN" w:bidi="ar"/>
              </w:rPr>
              <w:t>并加盖厂商公章</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2.通识基础课程包括但不限于计算机网络基础、操作系统基础、路由交换技术、网络安全空间导论；同时</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项目化教学课程-操作系统安全监测综合实践项目、提供学生版和教师版实践环境；结合本校实际教学需求，要求总课时大于等于170课时，讲义大于等于100个，视频大于等于110个，实验大于等于40个，练习大于等于80套；（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专业核心课程包括但不限于网络渗透测试基础、WEB安全基础实践、网络安全设备原理与运维；包含大于等于一个项目化教学课程-渗透测试工具应用综合实践项目，提供学生版和教师版实践环境；结合实际教学需求，要求总课时大于等于180课时，讲义大于等于90个，视频大于等于130个，实验大于等于80个，练习大于等于70套；（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专业进阶课程包括但不限于网络安全平台管理与运营、设备高可用原理及配置；结合本校教学实际需求，要求总课时大于等于50课时，讲义大于等于30个，视频大于等于30个，实验大于等于35个；（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应用课程包括但不限于企业网络安全运营、网络安全等级保护、Python程序开发、网络安全溯源分析；提供三个及以上项目化教学课程-安全基线管理实践项目、Python爬虫数据包与协议分析实践项目、日志收集与分析实践项目，提供学生版和教师版实践环境；集合实际教学需求，要求总课时大于等于230课时，讲义大于等于130个，视频大于等于110个，实验大于等于60个，练习大于等于55套；（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网络安全技术靶场资源中，项目包含教师版和学生版两个版本，总实践课时大于等于20个课时；项目实训要求大于等于5个教学环节，覆盖从项目介绍、前期调研、方案设计、项目实操到验收收尾的完整项目周期，各阶段均配套详细的讲义，且实施阶段配套完善的项目上云开发环境；（需提供产品功能截图和实验拓扑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三、云计算教学要求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1.提供符合高校人才培养理念的云计算综合实训专业课程资源包，专业课程资源包括通识基础课程、专业核心课程、专业进阶课程、综合应用课程；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2.通识基础课程</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计算机网络基础、数据中心基础、Linux网络操作系统基础、路由交换技术与实践、数据库原理与应用、云计算导论、LinuxKVM虚拟化架构实践；结合实际教学场景需要，要求总课时大于等于180课时，讲义大于等于90个，视频大于等于80个，实验大于等于55个；（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3.▲专业核心课程</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但不限于虚拟化技术与应用、云存储技术、开源云平台OpenStack实训、云安全技术实训；总课时大于等于190课时，讲义大于等于95个，视频大于等于100个，实验大于等于35个；（需提供课程资源截图）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4.专业进阶课程</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但不限于容器技术实训、云原生技术实训；总课时大于等于95课时，讲义大于等于40个，视频大于等于25个，实验大于等于20个；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5.▲综合应用课程</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但不限于超融合综合实训、桌面云综合实训、应用交付综合实训；总课时大于等于220课时，讲义大于等于100个，视频大于等于100个，实验大于等于40个；（需提供课程资源截图）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云计算教学实训资源中，项目包含教师版和学生版两个版本，总实践课时大于等于24个课时；项目实训要求大于等于5个教学环节，覆盖从项目介绍、前期调研、方案设计、项目实操到验收收尾的完整项目周期，各阶段均配套详细的讲义，且实施阶段配套完善的项目上云开发环境；（需提供产品功能截图和实验拓扑截图）</w:t>
            </w:r>
          </w:p>
          <w:p w14:paraId="62BE4435">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四、</w:t>
            </w:r>
            <w:r>
              <w:rPr>
                <w:rFonts w:ascii="宋体" w:hAnsi="宋体" w:eastAsia="宋体" w:cs="宋体"/>
                <w:sz w:val="24"/>
                <w:szCs w:val="24"/>
              </w:rPr>
              <w:t>中标后样机测试核验及虚假应标处置</w:t>
            </w:r>
          </w:p>
          <w:p w14:paraId="1679C906">
            <w:pPr>
              <w:keepNext w:val="0"/>
              <w:keepLines w:val="0"/>
              <w:widowControl/>
              <w:numPr>
                <w:ilvl w:val="0"/>
                <w:numId w:val="0"/>
              </w:numPr>
              <w:suppressLineNumbers w:val="0"/>
              <w:jc w:val="left"/>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default" w:ascii="宋体" w:hAnsi="宋体" w:cs="宋体"/>
                <w:i w:val="0"/>
                <w:iCs w:val="0"/>
                <w:color w:val="000000"/>
                <w:kern w:val="0"/>
                <w:sz w:val="24"/>
                <w:szCs w:val="24"/>
                <w:u w:val="none"/>
                <w:lang w:val="en-US" w:eastAsia="zh-CN" w:bidi="ar"/>
              </w:rPr>
              <w:t>中标后七个工作日内，招标方可</w:t>
            </w:r>
            <w:r>
              <w:rPr>
                <w:rFonts w:hint="eastAsia" w:ascii="宋体" w:hAnsi="宋体" w:cs="宋体"/>
                <w:i w:val="0"/>
                <w:iCs w:val="0"/>
                <w:color w:val="000000"/>
                <w:kern w:val="0"/>
                <w:sz w:val="24"/>
                <w:szCs w:val="24"/>
                <w:u w:val="none"/>
                <w:lang w:val="en-US" w:eastAsia="zh-CN" w:bidi="ar"/>
              </w:rPr>
              <w:t>根据实际情况</w:t>
            </w:r>
            <w:r>
              <w:rPr>
                <w:rFonts w:hint="default" w:ascii="宋体" w:hAnsi="宋体" w:cs="宋体"/>
                <w:i w:val="0"/>
                <w:iCs w:val="0"/>
                <w:color w:val="000000"/>
                <w:kern w:val="0"/>
                <w:sz w:val="24"/>
                <w:szCs w:val="24"/>
                <w:u w:val="none"/>
                <w:lang w:val="en-US" w:eastAsia="zh-CN" w:bidi="ar"/>
              </w:rPr>
              <w:t>要求中标人提供样机进行上述功能要求的逐一测试验证，全部通过后才能执行合同流程，测试中发现虚假应标的行为将予以废标处理并保留对该</w:t>
            </w:r>
            <w:r>
              <w:rPr>
                <w:rFonts w:hint="eastAsia" w:ascii="宋体" w:hAnsi="宋体" w:cs="宋体"/>
                <w:i w:val="0"/>
                <w:iCs w:val="0"/>
                <w:color w:val="000000"/>
                <w:kern w:val="0"/>
                <w:sz w:val="24"/>
                <w:szCs w:val="24"/>
                <w:u w:val="none"/>
                <w:lang w:val="en-US" w:eastAsia="zh-CN" w:bidi="ar"/>
              </w:rPr>
              <w:t>投标方</w:t>
            </w:r>
            <w:r>
              <w:rPr>
                <w:rFonts w:hint="default" w:ascii="宋体" w:hAnsi="宋体" w:cs="宋体"/>
                <w:i w:val="0"/>
                <w:iCs w:val="0"/>
                <w:color w:val="000000"/>
                <w:kern w:val="0"/>
                <w:sz w:val="24"/>
                <w:szCs w:val="24"/>
                <w:u w:val="none"/>
                <w:lang w:val="en-US" w:eastAsia="zh-CN" w:bidi="ar"/>
              </w:rPr>
              <w:t>追究相关责任的权利</w:t>
            </w:r>
            <w:r>
              <w:rPr>
                <w:rFonts w:hint="eastAsia" w:ascii="宋体" w:hAnsi="宋体" w:cs="宋体"/>
                <w:i w:val="0"/>
                <w:iCs w:val="0"/>
                <w:color w:val="000000"/>
                <w:kern w:val="0"/>
                <w:sz w:val="24"/>
                <w:szCs w:val="24"/>
                <w:u w:val="none"/>
                <w:lang w:val="en-US" w:eastAsia="zh-CN" w:bidi="ar"/>
              </w:rPr>
              <w:t>。</w:t>
            </w:r>
          </w:p>
        </w:tc>
        <w:tc>
          <w:tcPr>
            <w:tcW w:w="4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F6B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A97D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123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25" w:hRule="atLeast"/>
        </w:trPr>
        <w:tc>
          <w:tcPr>
            <w:tcW w:w="4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C5B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3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F15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实训一体机</w:t>
            </w:r>
          </w:p>
        </w:tc>
        <w:tc>
          <w:tcPr>
            <w:tcW w:w="326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DD9F80">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1.规格：2U的机架式服务器；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2.处理器：配置≥2颗X86架构处理器，要求单颗CPU核数≥32 核、主频≥2.1GHz；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3.内存：≥12×32GB DDR5 ECC RDIMM 内存（物理总容量384GB），支持DRAM+高性能NVMe SSD内存分层技术，开启后超融合平台总可用内存≥768GB，未配置内存分层功能时，需配置≥ 24×32GB DDR5物理内存达到同等可用内存容量；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4.▲硬盘：配置≥2 块 16T HDD 数据盘、 ≥2 块 480G SSD系统盘、≥2 块 1.92T NVME SSD 缓存盘，≥1 块 1.6T NVME SSD 内存分层硬盘，支持热插拔 SAS/SATA 硬盘，兼容2.5英寸和3.5英寸硬盘，配备≥12个2.5/3.5寸硬盘槽；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5.设备配备≥4个GE端口和2个10GE端口；配置冗余电源；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6.提供免费3 年硬件保修服务；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7.▲计算、存储、网络虚拟化软件及云计算管理系统统一选用同品牌产品，规避异构架构适配隐患。（提供计算机软件著作权登记证书）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二、计算虚拟化：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1.每台设备配置≥2个物理CPU的计算虚拟化软件授权；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搭载平台</w:t>
            </w:r>
            <w:r>
              <w:rPr>
                <w:rFonts w:hint="eastAsia" w:ascii="宋体" w:hAnsi="宋体" w:eastAsia="宋体" w:cs="宋体"/>
                <w:i w:val="0"/>
                <w:iCs w:val="0"/>
                <w:color w:val="000000"/>
                <w:kern w:val="0"/>
                <w:sz w:val="24"/>
                <w:szCs w:val="24"/>
                <w:u w:val="none"/>
                <w:lang w:val="en-US" w:eastAsia="zh-CN" w:bidi="ar"/>
              </w:rPr>
              <w:t>内存分层技术，可扩展单节点可用内存容量，在满足业务负载特征及活跃内存评估要求的前提下，至少可扩展至物理内存容量的两倍，并支持在管理平台查看扩展后的内存资源及其使用情况；（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平台扩展同一品牌的存储虚拟化、网络功能虚拟化、虚拟应用防火墙、虚拟应用交付、日志审计软件、数据库审计软件、运维安全管理软件功能组件，并支持统一管理，以保障平台的扩展性和兼容性；（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平台UPS联动，为尽可能保障数据中心断电场景下的业务，可在市电断电时通过UPS临时供应电量，当UPS电量过低时，按照虚拟机优先级先将不重要的虚拟机进行软关机；（提供产品界面截图）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平台识别假死主机并标签化为亚健康主机</w:t>
            </w: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，通过邮件或短信告警提醒用户进行处理，并限制重要业务在亚健康主机上运行，规避风险；（提供产品界面截图）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配备平台</w:t>
            </w:r>
            <w:r>
              <w:rPr>
                <w:rFonts w:hint="eastAsia" w:ascii="宋体" w:hAnsi="宋体" w:eastAsia="宋体" w:cs="宋体"/>
                <w:i w:val="0"/>
                <w:iCs w:val="0"/>
                <w:color w:val="000000"/>
                <w:kern w:val="0"/>
                <w:sz w:val="24"/>
                <w:szCs w:val="24"/>
                <w:u w:val="none"/>
                <w:lang w:val="en-US" w:eastAsia="zh-CN" w:bidi="ar"/>
              </w:rPr>
              <w:t>无代理跨物理主机的虚拟机USB映射，需要使用USBKEY时，无需在虚拟机上安装客户端插件，且虚拟机迁移到其它物理主机后，仍能正常使用迁移前所在物理主机上的USB资源；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平台</w:t>
            </w:r>
            <w:r>
              <w:rPr>
                <w:rFonts w:hint="eastAsia" w:ascii="宋体" w:hAnsi="宋体" w:eastAsia="宋体" w:cs="宋体"/>
                <w:i w:val="0"/>
                <w:iCs w:val="0"/>
                <w:color w:val="000000"/>
                <w:kern w:val="0"/>
                <w:sz w:val="24"/>
                <w:szCs w:val="24"/>
                <w:u w:val="none"/>
                <w:lang w:val="en-US" w:eastAsia="zh-CN" w:bidi="ar"/>
              </w:rPr>
              <w:t>根据不同业务场景需求，按主机和虚拟机粒度开启或关闭内存分层功能，并支持在主机和虚拟机不停机的情况下进行配置调整；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8.平台提供基于PowerShell的CLI命令行功能，通过命令行可以进行管理计算虚拟化、存储虚拟化、网络虚拟化模块，通过PowerShell脚本可简化用户运维操作；（需提供产品功能截图）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9.▲平台支撑保障实训业务稳定承载，当扫描到物理主机的内存条出现ECCCE和UE错误时，能够将对应内存空间进行隔离并定位故障内存的槽位，减少硬件问题对业务的影响；（提供产品界面截图</w:t>
            </w:r>
            <w:r>
              <w:rPr>
                <w:rFonts w:hint="eastAsia" w:ascii="宋体" w:hAnsi="宋体" w:cs="宋体"/>
                <w:i w:val="0"/>
                <w:iCs w:val="0"/>
                <w:color w:val="000000"/>
                <w:kern w:val="0"/>
                <w:sz w:val="24"/>
                <w:szCs w:val="24"/>
                <w:u w:val="none"/>
                <w:lang w:val="en-US" w:eastAsia="zh-CN" w:bidi="ar"/>
              </w:rPr>
              <w:t>以</w:t>
            </w:r>
            <w:r>
              <w:rPr>
                <w:rFonts w:hint="eastAsia" w:ascii="宋体" w:hAnsi="宋体" w:eastAsia="宋体" w:cs="宋体"/>
                <w:i w:val="0"/>
                <w:iCs w:val="0"/>
                <w:color w:val="000000"/>
                <w:kern w:val="0"/>
                <w:sz w:val="24"/>
                <w:szCs w:val="24"/>
                <w:u w:val="none"/>
                <w:lang w:val="en-US" w:eastAsia="zh-CN" w:bidi="ar"/>
              </w:rPr>
              <w:t>及第三方检测报告首尾页和关键内容页）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三、网络虚拟化：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1.每台设备配置≥2个CPU的网络虚拟化软件授权；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2.▲在管理平台上可以通过拖拽虚拟设备图标和连线就能完成网络拓扑的构建，快速的实现整个业务逻辑，支持对整个平台虚拟设备实现统一的管理，提升运维管理的工作效率；（提供产品界面截图）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管理网、业务网、数据通信网（VXLAN）和存储网复用相同物理网口；支持两个或四个网口聚合，最多支持8个网口聚合；网口复用后，支持对不同网络平面进行流量控制和VLAN隔离，为网络中的每个虚拟机提供内置的网络故障切换和负载均衡能力，实现更高的硬件可用性和容错能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4.平台手动指定虚拟路由器运行在固定的物理主机上，可以自动将虚拟路由器规划到高性能和高吞吐的物理主机上；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平台跳转连通性探测页面，可以设置探测对象信息，包括但不限于网口、对象类型、IP地址，可以点击开始探测按钮查看探测页面信息，可以在网络连通性探测页面查看网络探测是否成功；（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实训平台提供网络可视化组件</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，可在图形化界面上观察到所有虚拟机的流量走向与访问关系，包括但不限于源IP、目的IP、访问次数、服务类型；（提供产品界面截图）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实训平台提供端口镜像功能</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，支持将超融合内部网络流量镜像到内部虚拟机、nfv、外部安全设备进行流量审计，可联动安全态势感知平台进行流量检测；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8.虚拟路由器配置不限制个数，虚拟路由器支持HA功能，当虚拟路由器运行的主机出现故障时，可以实现故障自动恢复，保障业务的高可靠性；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四、存储虚拟化：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1.每台设备配置≥2个物理CPU的存储虚拟化软件授权。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平台标准的iSCSI协议，允许外部物理主机或应用通过标准的iSCSI接口访问虚拟存储，实现Server SAN、IP-SAN、FC-SAN、NAS的融合；通过iSCSI透传/非透传指令使虚拟机支持存储裸设备映射（RDM），可以将存储设备上的LUN直接映射给虚拟机使用；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以磁盘为单位创建分卷，可将集群内固态硬盘组成一个高性能全闪存存储池，满足高性能应用需求，将固态硬盘和机械硬盘组成一个大容量混合存储池，满足普通应用需求，以更低成本灵活满足不同业务对存储性能容量的不同需求，并降低故障影响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4.平台启动聚合副本后，将会有1个副本聚合在一台主机，虚拟机会优先在聚合主机运行，实现数据的本地读取，降低网络开销；（提供产品界面截图）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条带化功能以提高存储性能，并且支持以虚拟磁盘为粒度设置不同的条带数，可以点击虚拟存储中的新增存储策略进行条带数设置操作；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6.平台可兼容多款主流国产关系型数据库及其配套高可用集群架构，支持对接共享磁盘、共享块类型存储硬件；支持向导式可视化部署，简化项目落地部署工作。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7.平台</w:t>
            </w:r>
            <w:r>
              <w:rPr>
                <w:rFonts w:hint="eastAsia" w:ascii="宋体" w:hAnsi="宋体" w:cs="宋体"/>
                <w:i w:val="0"/>
                <w:iCs w:val="0"/>
                <w:color w:val="000000"/>
                <w:kern w:val="0"/>
                <w:sz w:val="24"/>
                <w:szCs w:val="24"/>
                <w:u w:val="none"/>
                <w:lang w:val="en-US" w:eastAsia="zh-CN" w:bidi="ar"/>
              </w:rPr>
              <w:t>提供</w:t>
            </w:r>
            <w:r>
              <w:rPr>
                <w:rFonts w:hint="eastAsia" w:ascii="宋体" w:hAnsi="宋体" w:eastAsia="宋体" w:cs="宋体"/>
                <w:i w:val="0"/>
                <w:iCs w:val="0"/>
                <w:color w:val="000000"/>
                <w:kern w:val="0"/>
                <w:sz w:val="24"/>
                <w:szCs w:val="24"/>
                <w:u w:val="none"/>
                <w:lang w:val="en-US" w:eastAsia="zh-CN" w:bidi="ar"/>
              </w:rPr>
              <w:t>选择多种克隆方式，</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但不限于快速全量克隆、全量克隆和链接克隆，可查看通过链接克隆的虚拟机是否运行正常，可以设置克隆完成后自动启动克隆虚拟机操作；（提供产品界面截图）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8.▲平台</w:t>
            </w:r>
            <w:r>
              <w:rPr>
                <w:rFonts w:hint="eastAsia" w:ascii="宋体" w:hAnsi="宋体" w:cs="宋体"/>
                <w:i w:val="0"/>
                <w:iCs w:val="0"/>
                <w:color w:val="000000"/>
                <w:kern w:val="0"/>
                <w:sz w:val="24"/>
                <w:szCs w:val="24"/>
                <w:u w:val="none"/>
                <w:lang w:val="en-US" w:eastAsia="zh-CN" w:bidi="ar"/>
              </w:rPr>
              <w:t>提供</w:t>
            </w:r>
            <w:r>
              <w:rPr>
                <w:rFonts w:hint="eastAsia" w:ascii="宋体" w:hAnsi="宋体" w:eastAsia="宋体" w:cs="宋体"/>
                <w:i w:val="0"/>
                <w:iCs w:val="0"/>
                <w:color w:val="000000"/>
                <w:kern w:val="0"/>
                <w:sz w:val="24"/>
                <w:szCs w:val="24"/>
                <w:u w:val="none"/>
                <w:lang w:val="en-US" w:eastAsia="zh-CN" w:bidi="ar"/>
              </w:rPr>
              <w:t>数据重建优先级调整，可以查看数据重建任务列表信息，</w:t>
            </w:r>
            <w:r>
              <w:rPr>
                <w:rFonts w:hint="eastAsia" w:ascii="宋体" w:hAnsi="宋体" w:cs="宋体"/>
                <w:i w:val="0"/>
                <w:iCs w:val="0"/>
                <w:color w:val="000000"/>
                <w:kern w:val="0"/>
                <w:sz w:val="24"/>
                <w:szCs w:val="24"/>
                <w:u w:val="none"/>
                <w:lang w:val="en-US" w:eastAsia="zh-CN" w:bidi="ar"/>
              </w:rPr>
              <w:t>包含</w:t>
            </w:r>
            <w:r>
              <w:rPr>
                <w:rFonts w:hint="eastAsia" w:ascii="宋体" w:hAnsi="宋体" w:eastAsia="宋体" w:cs="宋体"/>
                <w:i w:val="0"/>
                <w:iCs w:val="0"/>
                <w:color w:val="000000"/>
                <w:kern w:val="0"/>
                <w:sz w:val="24"/>
                <w:szCs w:val="24"/>
                <w:u w:val="none"/>
                <w:lang w:val="en-US" w:eastAsia="zh-CN" w:bidi="ar"/>
              </w:rPr>
              <w:t>但不限于对象名称、对象类型、数据量和优先级信息，可以点击操作中的优先级对数据重建进行优先重建，保证重要的业务优先恢复数据的安全性；（提供产品第三方检测报告首尾页和关键内容页）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平台智能坏道预测</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，准确识别出接下来会出现坏道的硬盘，实现故障前预测并处理，规避故障风险；（提供产品界面截图）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平台硬盘寿命预测功能</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，可预估硬盘剩余可使用时间，进行实时预警，提醒用户在寿命到期之前可实现在对业务无影响的情况下安全更换硬盘；（提供产品界面截图）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五、云计算管理软件：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1.每台设备配置≥2个物理CPU的云计算管理软件授权。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可视化大屏汇总虚拟化资源池健康与负载数据</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，涵盖软硬件资源使用率、设备数量、集群告警信息，依托实时数据监测保障全周期教学实训环境稳定可靠；（提供产品功能截图）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3.平台</w:t>
            </w:r>
            <w:r>
              <w:rPr>
                <w:rFonts w:hint="eastAsia" w:ascii="宋体" w:hAnsi="宋体" w:cs="宋体"/>
                <w:i w:val="0"/>
                <w:iCs w:val="0"/>
                <w:color w:val="000000"/>
                <w:kern w:val="0"/>
                <w:sz w:val="24"/>
                <w:szCs w:val="24"/>
                <w:u w:val="none"/>
                <w:lang w:val="en-US" w:eastAsia="zh-CN" w:bidi="ar"/>
              </w:rPr>
              <w:t>提供</w:t>
            </w:r>
            <w:r>
              <w:rPr>
                <w:rFonts w:hint="eastAsia" w:ascii="宋体" w:hAnsi="宋体" w:eastAsia="宋体" w:cs="宋体"/>
                <w:i w:val="0"/>
                <w:iCs w:val="0"/>
                <w:color w:val="000000"/>
                <w:kern w:val="0"/>
                <w:sz w:val="24"/>
                <w:szCs w:val="24"/>
                <w:u w:val="none"/>
                <w:lang w:val="en-US" w:eastAsia="zh-CN" w:bidi="ar"/>
              </w:rPr>
              <w:t>查看物理主机、云主机（CPU、内存占用）资源占用排行榜Top5；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平台纳管多版本超融合和VMware资源池</w:t>
            </w: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应具备大规模资源池的纳管能力，可支持跨地域的多集群管理，多集群的物理节点纳管规模应超过1000台；云计算管理平台，和底层资源池部分的（计算虚拟化、存储虚拟化、网络虚拟化）均为同一厂商品牌提供，并可以支持扩展同一品牌的网络和安全虚拟化（虚拟应用防火墙、虚拟应用负载均衡）功能组件，以保障平台的扩展性和兼容性；（提供产品界面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平台异构纳管</w:t>
            </w: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，支持同时纳管ARM\X86架构的集群及资源管理；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6.平台</w:t>
            </w:r>
            <w:r>
              <w:rPr>
                <w:rFonts w:hint="eastAsia" w:ascii="宋体" w:hAnsi="宋体" w:cs="宋体"/>
                <w:i w:val="0"/>
                <w:iCs w:val="0"/>
                <w:color w:val="000000"/>
                <w:kern w:val="0"/>
                <w:sz w:val="24"/>
                <w:szCs w:val="24"/>
                <w:u w:val="none"/>
                <w:lang w:val="en-US" w:eastAsia="zh-CN" w:bidi="ar"/>
              </w:rPr>
              <w:t>提供</w:t>
            </w:r>
            <w:r>
              <w:rPr>
                <w:rFonts w:hint="eastAsia" w:ascii="宋体" w:hAnsi="宋体" w:eastAsia="宋体" w:cs="宋体"/>
                <w:i w:val="0"/>
                <w:iCs w:val="0"/>
                <w:color w:val="000000"/>
                <w:kern w:val="0"/>
                <w:sz w:val="24"/>
                <w:szCs w:val="24"/>
                <w:u w:val="none"/>
                <w:lang w:val="en-US" w:eastAsia="zh-CN" w:bidi="ar"/>
              </w:rPr>
              <w:t>管理公共镜像（ISO、内置镜像），资源池可见范围，并通过镜像直接创建云主机；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7.平台</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监控云主机的资源使用趋势</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（CPU、内存、磁盘、IO次数、IO速率、流速、包速率）；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平台查看告警日志</w:t>
            </w: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，可按时间、告警级别、告警对象、所属资源池、租户进行过滤；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平台对云主机、硬件设备、网络、序列号进行告警设置</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，告警级别分为普通告警与紧急告警；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云平台对接统一登录认证系统，支持对接CAS统一登录认证系统；（提供产品界面截图）</w:t>
            </w:r>
          </w:p>
          <w:p w14:paraId="1B186BD0">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六、</w:t>
            </w:r>
            <w:r>
              <w:rPr>
                <w:rFonts w:ascii="宋体" w:hAnsi="宋体" w:eastAsia="宋体" w:cs="宋体"/>
                <w:sz w:val="24"/>
                <w:szCs w:val="24"/>
              </w:rPr>
              <w:t>中标后样机测试核验及虚假应标处置</w:t>
            </w:r>
          </w:p>
          <w:p w14:paraId="233BCF6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r>
              <w:rPr>
                <w:rFonts w:hint="default" w:ascii="宋体" w:hAnsi="宋体" w:cs="宋体"/>
                <w:i w:val="0"/>
                <w:iCs w:val="0"/>
                <w:color w:val="000000"/>
                <w:kern w:val="0"/>
                <w:sz w:val="24"/>
                <w:szCs w:val="24"/>
                <w:u w:val="none"/>
                <w:lang w:val="en-US" w:eastAsia="zh-CN" w:bidi="ar"/>
              </w:rPr>
              <w:t>中标后七个工作日内，招标方可</w:t>
            </w:r>
            <w:r>
              <w:rPr>
                <w:rFonts w:hint="eastAsia" w:ascii="宋体" w:hAnsi="宋体" w:cs="宋体"/>
                <w:i w:val="0"/>
                <w:iCs w:val="0"/>
                <w:color w:val="000000"/>
                <w:kern w:val="0"/>
                <w:sz w:val="24"/>
                <w:szCs w:val="24"/>
                <w:u w:val="none"/>
                <w:lang w:val="en-US" w:eastAsia="zh-CN" w:bidi="ar"/>
              </w:rPr>
              <w:t>根据实际情况</w:t>
            </w:r>
            <w:r>
              <w:rPr>
                <w:rFonts w:hint="default" w:ascii="宋体" w:hAnsi="宋体" w:cs="宋体"/>
                <w:i w:val="0"/>
                <w:iCs w:val="0"/>
                <w:color w:val="000000"/>
                <w:kern w:val="0"/>
                <w:sz w:val="24"/>
                <w:szCs w:val="24"/>
                <w:u w:val="none"/>
                <w:lang w:val="en-US" w:eastAsia="zh-CN" w:bidi="ar"/>
              </w:rPr>
              <w:t>要求中标人提供样机进行上述功能要求的逐一测试验证，全部通过后才能执行合同流程，测试中发现虚假应标的行为将予以废标处理并保留对该</w:t>
            </w:r>
            <w:r>
              <w:rPr>
                <w:rFonts w:hint="eastAsia" w:ascii="宋体" w:hAnsi="宋体" w:cs="宋体"/>
                <w:i w:val="0"/>
                <w:iCs w:val="0"/>
                <w:color w:val="000000"/>
                <w:kern w:val="0"/>
                <w:sz w:val="24"/>
                <w:szCs w:val="24"/>
                <w:u w:val="none"/>
                <w:lang w:val="en-US" w:eastAsia="zh-CN" w:bidi="ar"/>
              </w:rPr>
              <w:t>投标方</w:t>
            </w:r>
            <w:r>
              <w:rPr>
                <w:rFonts w:hint="default" w:ascii="宋体" w:hAnsi="宋体" w:cs="宋体"/>
                <w:i w:val="0"/>
                <w:iCs w:val="0"/>
                <w:color w:val="000000"/>
                <w:kern w:val="0"/>
                <w:sz w:val="24"/>
                <w:szCs w:val="24"/>
                <w:u w:val="none"/>
                <w:lang w:val="en-US" w:eastAsia="zh-CN" w:bidi="ar"/>
              </w:rPr>
              <w:t>追究相关责任的权利</w:t>
            </w:r>
            <w:r>
              <w:rPr>
                <w:rFonts w:hint="eastAsia" w:ascii="宋体" w:hAnsi="宋体" w:cs="宋体"/>
                <w:i w:val="0"/>
                <w:iCs w:val="0"/>
                <w:color w:val="000000"/>
                <w:kern w:val="0"/>
                <w:sz w:val="24"/>
                <w:szCs w:val="24"/>
                <w:u w:val="none"/>
                <w:lang w:val="en-US" w:eastAsia="zh-CN" w:bidi="ar"/>
              </w:rPr>
              <w:t>。</w:t>
            </w:r>
          </w:p>
        </w:tc>
        <w:tc>
          <w:tcPr>
            <w:tcW w:w="4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4C39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849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E09F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5" w:hRule="atLeast"/>
        </w:trPr>
        <w:tc>
          <w:tcPr>
            <w:tcW w:w="4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E09D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3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D0D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实训一体机交换机</w:t>
            </w:r>
          </w:p>
        </w:tc>
        <w:tc>
          <w:tcPr>
            <w:tcW w:w="326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D32BDB">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设备的交换容量≥2Tbps，包转发率≥700Mpps；（以官网最小值为准）；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2.提供万兆SFP+光口≥12个；千兆电口≥12个；Console口≥1个，Manage口≥1个；需满配</w:t>
            </w:r>
            <w:r>
              <w:rPr>
                <w:rFonts w:hint="eastAsia" w:ascii="宋体" w:hAnsi="宋体" w:cs="宋体"/>
                <w:i w:val="0"/>
                <w:iCs w:val="0"/>
                <w:color w:val="000000"/>
                <w:kern w:val="0"/>
                <w:sz w:val="24"/>
                <w:szCs w:val="24"/>
                <w:u w:val="none"/>
                <w:lang w:val="en-US" w:eastAsia="zh-CN" w:bidi="ar"/>
              </w:rPr>
              <w:t>单模</w:t>
            </w:r>
            <w:r>
              <w:rPr>
                <w:rFonts w:hint="eastAsia" w:ascii="宋体" w:hAnsi="宋体" w:eastAsia="宋体" w:cs="宋体"/>
                <w:i w:val="0"/>
                <w:iCs w:val="0"/>
                <w:color w:val="000000"/>
                <w:kern w:val="0"/>
                <w:sz w:val="24"/>
                <w:szCs w:val="24"/>
                <w:u w:val="none"/>
                <w:lang w:val="en-US" w:eastAsia="zh-CN" w:bidi="ar"/>
              </w:rPr>
              <w:t>光模块；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3.配备MAC地址≥32K，支持MAC地址自动学习、源MAC地址过滤、接口MAC地址学习个数限制；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4.配备静态路由、RIPv1/2、OSPF、策略路由；支持端口聚合，支持手工和静态LACP；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搭载</w:t>
            </w:r>
            <w:r>
              <w:rPr>
                <w:rFonts w:hint="eastAsia" w:ascii="宋体" w:hAnsi="宋体" w:eastAsia="宋体" w:cs="宋体"/>
                <w:i w:val="0"/>
                <w:iCs w:val="0"/>
                <w:color w:val="000000"/>
                <w:kern w:val="0"/>
                <w:sz w:val="24"/>
                <w:szCs w:val="24"/>
                <w:u w:val="none"/>
                <w:lang w:val="en-US" w:eastAsia="zh-CN" w:bidi="ar"/>
              </w:rPr>
              <w:t>堆叠技术、M-LAG技术，跨设备链路聚合（非堆叠技术实现），要求配对的设备有独立的控制平面；（提供功能证明截图）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终端IP-MAC绑定</w:t>
            </w:r>
            <w:r>
              <w:rPr>
                <w:rFonts w:hint="eastAsia" w:ascii="宋体" w:hAnsi="宋体" w:cs="宋体"/>
                <w:i w:val="0"/>
                <w:iCs w:val="0"/>
                <w:color w:val="000000"/>
                <w:kern w:val="0"/>
                <w:sz w:val="24"/>
                <w:szCs w:val="24"/>
                <w:u w:val="none"/>
                <w:lang w:val="en-US" w:eastAsia="zh-CN" w:bidi="ar"/>
              </w:rPr>
              <w:t>模块</w:t>
            </w:r>
            <w:r>
              <w:rPr>
                <w:rFonts w:hint="eastAsia" w:ascii="宋体" w:hAnsi="宋体" w:eastAsia="宋体" w:cs="宋体"/>
                <w:i w:val="0"/>
                <w:iCs w:val="0"/>
                <w:color w:val="000000"/>
                <w:kern w:val="0"/>
                <w:sz w:val="24"/>
                <w:szCs w:val="24"/>
                <w:u w:val="none"/>
                <w:lang w:val="en-US" w:eastAsia="zh-CN" w:bidi="ar"/>
              </w:rPr>
              <w:t>，当IP+MAC不对应时，可以将终端加入黑名单实现断开终端流量；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智能交换机和普通交换机两种工作模式，可以根据不同的组网需要，随时灵活的进行切换；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通过平台一键替换“按钮”即可完成故障设备替换；（提供功能证明截图）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在交换机上创建东西向安全策略，实现全网安全风险拦截；（提供功能证明截图）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配备</w:t>
            </w:r>
            <w:r>
              <w:rPr>
                <w:rFonts w:hint="eastAsia" w:ascii="宋体" w:hAnsi="宋体" w:eastAsia="宋体" w:cs="宋体"/>
                <w:i w:val="0"/>
                <w:iCs w:val="0"/>
                <w:color w:val="000000"/>
                <w:kern w:val="0"/>
                <w:sz w:val="24"/>
                <w:szCs w:val="24"/>
                <w:u w:val="none"/>
                <w:lang w:val="en-US" w:eastAsia="zh-CN" w:bidi="ar"/>
              </w:rPr>
              <w:t>终端类型库，可依托设备特征信息自动甄别PC、路由器、摄像头设备、无线AP等；（提供功能证明截图）</w:t>
            </w:r>
          </w:p>
        </w:tc>
        <w:tc>
          <w:tcPr>
            <w:tcW w:w="4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4B8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027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bl>
    <w:p w14:paraId="55912B03">
      <w:pPr>
        <w:widowControl/>
        <w:spacing w:line="240" w:lineRule="atLeast"/>
        <w:jc w:val="center"/>
        <w:outlineLvl w:val="0"/>
        <w:rPr>
          <w:rFonts w:hint="eastAsia" w:ascii="宋体" w:hAnsi="宋体" w:cs="宋体"/>
          <w:b/>
          <w:bCs/>
          <w:color w:val="auto"/>
        </w:rPr>
      </w:pPr>
    </w:p>
    <w:p w14:paraId="6D56F32F">
      <w:pPr>
        <w:widowControl/>
        <w:spacing w:line="240" w:lineRule="atLeast"/>
        <w:jc w:val="center"/>
        <w:outlineLvl w:val="0"/>
        <w:rPr>
          <w:rFonts w:hint="eastAsia" w:ascii="宋体" w:hAnsi="宋体" w:cs="宋体"/>
          <w:b/>
          <w:bCs/>
          <w:color w:val="auto"/>
        </w:rPr>
      </w:pPr>
    </w:p>
    <w:p w14:paraId="22B38024">
      <w:pPr>
        <w:widowControl/>
        <w:spacing w:line="240" w:lineRule="atLeast"/>
        <w:jc w:val="center"/>
        <w:outlineLvl w:val="0"/>
        <w:rPr>
          <w:rFonts w:hint="eastAsia" w:ascii="宋体" w:hAnsi="宋体" w:cs="宋体"/>
          <w:b/>
          <w:bCs/>
          <w:color w:val="auto"/>
        </w:rPr>
      </w:pPr>
    </w:p>
    <w:p w14:paraId="3DABD996">
      <w:pPr>
        <w:widowControl/>
        <w:spacing w:line="240" w:lineRule="atLeast"/>
        <w:jc w:val="center"/>
        <w:outlineLvl w:val="0"/>
        <w:rPr>
          <w:rFonts w:hint="eastAsia" w:ascii="宋体" w:hAnsi="宋体" w:cs="宋体"/>
          <w:b/>
          <w:bCs/>
          <w:color w:val="auto"/>
        </w:rPr>
      </w:pPr>
    </w:p>
    <w:p w14:paraId="646583F2">
      <w:pPr>
        <w:widowControl/>
        <w:spacing w:line="240" w:lineRule="atLeast"/>
        <w:jc w:val="center"/>
        <w:outlineLvl w:val="0"/>
        <w:rPr>
          <w:rFonts w:hint="eastAsia" w:ascii="宋体" w:hAnsi="宋体" w:cs="宋体"/>
          <w:b/>
          <w:bCs/>
          <w:color w:val="auto"/>
        </w:rPr>
      </w:pPr>
    </w:p>
    <w:p w14:paraId="43647332">
      <w:pPr>
        <w:widowControl/>
        <w:spacing w:line="240" w:lineRule="atLeast"/>
        <w:jc w:val="center"/>
        <w:outlineLvl w:val="0"/>
        <w:rPr>
          <w:rFonts w:hint="eastAsia" w:ascii="宋体" w:hAnsi="宋体" w:cs="宋体"/>
          <w:b/>
          <w:bCs/>
          <w:color w:val="auto"/>
        </w:rPr>
      </w:pPr>
    </w:p>
    <w:p w14:paraId="2BA511CB">
      <w:pPr>
        <w:widowControl/>
        <w:spacing w:line="240" w:lineRule="atLeast"/>
        <w:jc w:val="center"/>
        <w:outlineLvl w:val="0"/>
        <w:rPr>
          <w:rFonts w:hint="eastAsia" w:ascii="宋体" w:hAnsi="宋体" w:cs="宋体"/>
          <w:b/>
          <w:bCs/>
          <w:color w:val="auto"/>
        </w:rPr>
      </w:pPr>
    </w:p>
    <w:p w14:paraId="719988EC">
      <w:pPr>
        <w:widowControl/>
        <w:spacing w:line="240" w:lineRule="atLeast"/>
        <w:jc w:val="center"/>
        <w:outlineLvl w:val="0"/>
        <w:rPr>
          <w:rFonts w:hint="eastAsia" w:ascii="宋体" w:hAnsi="宋体" w:cs="宋体"/>
          <w:b/>
          <w:bCs/>
          <w:color w:val="auto"/>
        </w:rPr>
      </w:pPr>
    </w:p>
    <w:p w14:paraId="6B143BF2">
      <w:pPr>
        <w:widowControl/>
        <w:spacing w:line="240" w:lineRule="atLeast"/>
        <w:jc w:val="center"/>
        <w:outlineLvl w:val="0"/>
        <w:rPr>
          <w:rFonts w:hint="eastAsia" w:ascii="宋体" w:hAnsi="宋体" w:cs="宋体"/>
          <w:b/>
          <w:bCs/>
          <w:color w:val="auto"/>
        </w:rPr>
      </w:pPr>
    </w:p>
    <w:p w14:paraId="6155749C">
      <w:pPr>
        <w:widowControl/>
        <w:spacing w:line="240" w:lineRule="atLeast"/>
        <w:jc w:val="center"/>
        <w:outlineLvl w:val="0"/>
        <w:rPr>
          <w:rFonts w:hint="eastAsia" w:ascii="宋体" w:hAnsi="宋体" w:cs="宋体"/>
          <w:b/>
          <w:bCs/>
          <w:color w:val="auto"/>
        </w:rPr>
      </w:pPr>
    </w:p>
    <w:p w14:paraId="5F7EC1E2">
      <w:pPr>
        <w:widowControl/>
        <w:spacing w:line="240" w:lineRule="atLeast"/>
        <w:jc w:val="center"/>
        <w:outlineLvl w:val="0"/>
        <w:rPr>
          <w:rFonts w:hint="eastAsia" w:ascii="宋体" w:hAnsi="宋体" w:cs="宋体"/>
          <w:b/>
          <w:bCs/>
          <w:color w:val="auto"/>
        </w:rPr>
      </w:pPr>
    </w:p>
    <w:p w14:paraId="1E6F5609">
      <w:pPr>
        <w:widowControl/>
        <w:spacing w:line="240" w:lineRule="atLeast"/>
        <w:jc w:val="center"/>
        <w:outlineLvl w:val="0"/>
        <w:rPr>
          <w:rFonts w:hint="eastAsia" w:ascii="宋体" w:hAnsi="宋体" w:cs="宋体"/>
          <w:b/>
          <w:bCs/>
          <w:color w:val="auto"/>
        </w:rPr>
      </w:pPr>
    </w:p>
    <w:p w14:paraId="34D3F28B">
      <w:pPr>
        <w:widowControl/>
        <w:spacing w:line="240" w:lineRule="atLeast"/>
        <w:jc w:val="center"/>
        <w:outlineLvl w:val="0"/>
        <w:rPr>
          <w:rFonts w:hint="eastAsia" w:ascii="宋体" w:hAnsi="宋体" w:cs="宋体"/>
          <w:b/>
          <w:bCs/>
          <w:color w:val="auto"/>
        </w:rPr>
      </w:pPr>
    </w:p>
    <w:p w14:paraId="20F34753">
      <w:pPr>
        <w:widowControl/>
        <w:spacing w:line="240" w:lineRule="atLeast"/>
        <w:jc w:val="center"/>
        <w:outlineLvl w:val="0"/>
        <w:rPr>
          <w:rFonts w:hint="eastAsia" w:ascii="宋体" w:hAnsi="宋体" w:cs="宋体"/>
          <w:b/>
          <w:bCs/>
          <w:color w:val="auto"/>
        </w:rPr>
      </w:pPr>
    </w:p>
    <w:p w14:paraId="7CBFFB49">
      <w:pPr>
        <w:widowControl/>
        <w:spacing w:line="240" w:lineRule="atLeast"/>
        <w:jc w:val="center"/>
        <w:outlineLvl w:val="0"/>
        <w:rPr>
          <w:rFonts w:hint="eastAsia" w:ascii="宋体" w:hAnsi="宋体" w:cs="宋体"/>
          <w:b/>
          <w:bCs/>
          <w:color w:val="auto"/>
        </w:rPr>
      </w:pPr>
    </w:p>
    <w:p w14:paraId="5F767140">
      <w:pPr>
        <w:widowControl/>
        <w:spacing w:line="240" w:lineRule="atLeast"/>
        <w:jc w:val="center"/>
        <w:outlineLvl w:val="0"/>
        <w:rPr>
          <w:rFonts w:hint="eastAsia" w:ascii="宋体" w:hAnsi="宋体" w:cs="宋体"/>
          <w:b/>
          <w:bCs/>
          <w:color w:val="auto"/>
        </w:rPr>
      </w:pPr>
    </w:p>
    <w:p w14:paraId="5AB7FAC1">
      <w:pPr>
        <w:widowControl/>
        <w:spacing w:line="240" w:lineRule="atLeast"/>
        <w:jc w:val="center"/>
        <w:outlineLvl w:val="0"/>
        <w:rPr>
          <w:rFonts w:hint="eastAsia" w:ascii="宋体" w:hAnsi="宋体" w:cs="宋体"/>
          <w:b/>
          <w:bCs/>
          <w:color w:val="auto"/>
        </w:rPr>
      </w:pPr>
    </w:p>
    <w:p w14:paraId="459FD3C4">
      <w:pPr>
        <w:widowControl/>
        <w:spacing w:line="240" w:lineRule="atLeast"/>
        <w:jc w:val="center"/>
        <w:outlineLvl w:val="0"/>
        <w:rPr>
          <w:rFonts w:hint="eastAsia" w:ascii="宋体" w:hAnsi="宋体" w:cs="宋体"/>
          <w:b/>
          <w:bCs/>
          <w:color w:val="auto"/>
        </w:rPr>
      </w:pPr>
    </w:p>
    <w:p w14:paraId="7F7BE2ED">
      <w:pPr>
        <w:widowControl/>
        <w:spacing w:line="240" w:lineRule="atLeast"/>
        <w:jc w:val="center"/>
        <w:outlineLvl w:val="0"/>
        <w:rPr>
          <w:rFonts w:hint="eastAsia" w:ascii="宋体" w:hAnsi="宋体" w:cs="宋体"/>
          <w:b/>
          <w:bCs/>
          <w:color w:val="auto"/>
        </w:rPr>
      </w:pPr>
    </w:p>
    <w:p w14:paraId="083F8727">
      <w:pPr>
        <w:widowControl/>
        <w:spacing w:line="240" w:lineRule="atLeast"/>
        <w:jc w:val="center"/>
        <w:outlineLvl w:val="0"/>
        <w:rPr>
          <w:rFonts w:hint="eastAsia" w:ascii="宋体" w:hAnsi="宋体" w:cs="宋体"/>
          <w:b/>
          <w:bCs/>
          <w:color w:val="auto"/>
        </w:rPr>
      </w:pPr>
    </w:p>
    <w:p w14:paraId="56D8041B">
      <w:pPr>
        <w:widowControl/>
        <w:spacing w:line="240" w:lineRule="atLeast"/>
        <w:jc w:val="center"/>
        <w:outlineLvl w:val="0"/>
        <w:rPr>
          <w:rFonts w:hint="eastAsia" w:ascii="宋体" w:hAnsi="宋体" w:cs="宋体"/>
          <w:b/>
          <w:bCs/>
          <w:color w:val="auto"/>
        </w:rPr>
      </w:pPr>
    </w:p>
    <w:p w14:paraId="2DE4FD58">
      <w:pPr>
        <w:widowControl/>
        <w:spacing w:line="240" w:lineRule="atLeast"/>
        <w:jc w:val="center"/>
        <w:outlineLvl w:val="0"/>
        <w:rPr>
          <w:rFonts w:hint="eastAsia" w:ascii="宋体" w:hAnsi="宋体" w:cs="宋体"/>
          <w:b/>
          <w:bCs/>
          <w:color w:val="auto"/>
          <w:kern w:val="0"/>
          <w:sz w:val="30"/>
          <w:szCs w:val="30"/>
        </w:rPr>
      </w:pPr>
      <w:r>
        <w:rPr>
          <w:rFonts w:hint="eastAsia" w:ascii="宋体" w:hAnsi="宋体" w:cs="宋体"/>
          <w:b/>
          <w:bCs/>
          <w:color w:val="auto"/>
          <w:kern w:val="0"/>
          <w:sz w:val="30"/>
          <w:szCs w:val="30"/>
        </w:rPr>
        <w:t>第五章  政府采购合同</w:t>
      </w:r>
      <w:bookmarkEnd w:id="92"/>
    </w:p>
    <w:p w14:paraId="7148D587">
      <w:pPr>
        <w:tabs>
          <w:tab w:val="left" w:pos="1210"/>
          <w:tab w:val="left" w:pos="3295"/>
          <w:tab w:val="left" w:pos="4756"/>
          <w:tab w:val="left" w:pos="5639"/>
          <w:tab w:val="left" w:pos="6648"/>
          <w:tab w:val="left" w:pos="7857"/>
        </w:tabs>
        <w:snapToGrid w:val="0"/>
        <w:rPr>
          <w:rFonts w:ascii="仿宋_GB2312" w:eastAsia="仿宋_GB2312"/>
          <w:color w:val="auto"/>
        </w:rPr>
      </w:pPr>
      <w:r>
        <w:rPr>
          <w:rFonts w:hint="eastAsia"/>
          <w:color w:val="auto"/>
        </w:rPr>
        <w:t> </w:t>
      </w:r>
    </w:p>
    <w:p w14:paraId="56F149AE">
      <w:pPr>
        <w:widowControl/>
        <w:spacing w:line="240" w:lineRule="atLeast"/>
        <w:jc w:val="center"/>
        <w:rPr>
          <w:rFonts w:hint="eastAsia"/>
          <w:b/>
          <w:bCs/>
          <w:color w:val="auto"/>
          <w:sz w:val="24"/>
        </w:rPr>
      </w:pPr>
      <w:r>
        <w:rPr>
          <w:rFonts w:hint="eastAsia" w:ascii="宋体" w:hAnsi="宋体" w:cs="宋体"/>
          <w:b/>
          <w:bCs/>
          <w:color w:val="auto"/>
          <w:kern w:val="0"/>
          <w:sz w:val="30"/>
          <w:szCs w:val="30"/>
        </w:rPr>
        <w:t>（参考文本，以双方实际签订合同为准）</w:t>
      </w:r>
    </w:p>
    <w:p w14:paraId="36DD99EC">
      <w:pPr>
        <w:spacing w:line="288" w:lineRule="auto"/>
        <w:ind w:firstLine="422" w:firstLineChars="200"/>
        <w:jc w:val="center"/>
        <w:rPr>
          <w:rFonts w:ascii="宋体" w:hAnsi="宋体"/>
          <w:b/>
          <w:color w:val="auto"/>
          <w:szCs w:val="21"/>
        </w:rPr>
      </w:pPr>
      <w:bookmarkStart w:id="93" w:name="_Toc507409046"/>
      <w:bookmarkStart w:id="94" w:name="_Toc213141090"/>
      <w:r>
        <w:rPr>
          <w:rFonts w:hint="eastAsia" w:ascii="宋体" w:hAnsi="宋体"/>
          <w:b/>
          <w:color w:val="auto"/>
          <w:szCs w:val="21"/>
        </w:rPr>
        <w:t>合同书样式及主要条款</w:t>
      </w:r>
      <w:bookmarkEnd w:id="93"/>
      <w:bookmarkEnd w:id="94"/>
    </w:p>
    <w:p w14:paraId="511A286A">
      <w:pPr>
        <w:rPr>
          <w:rFonts w:hint="eastAsia"/>
          <w:color w:val="auto"/>
        </w:rPr>
      </w:pPr>
    </w:p>
    <w:tbl>
      <w:tblPr>
        <w:tblStyle w:val="22"/>
        <w:tblW w:w="0" w:type="auto"/>
        <w:jc w:val="center"/>
        <w:tblLayout w:type="fixed"/>
        <w:tblCellMar>
          <w:top w:w="0" w:type="dxa"/>
          <w:left w:w="0" w:type="dxa"/>
          <w:bottom w:w="0" w:type="dxa"/>
          <w:right w:w="0" w:type="dxa"/>
        </w:tblCellMar>
      </w:tblPr>
      <w:tblGrid>
        <w:gridCol w:w="9750"/>
      </w:tblGrid>
      <w:tr w14:paraId="573E824C">
        <w:tblPrEx>
          <w:tblCellMar>
            <w:top w:w="0" w:type="dxa"/>
            <w:left w:w="0" w:type="dxa"/>
            <w:bottom w:w="0" w:type="dxa"/>
            <w:right w:w="0" w:type="dxa"/>
          </w:tblCellMar>
        </w:tblPrEx>
        <w:trPr>
          <w:trHeight w:val="80" w:hRule="atLeast"/>
          <w:jc w:val="center"/>
        </w:trPr>
        <w:tc>
          <w:tcPr>
            <w:tcW w:w="9750" w:type="dxa"/>
            <w:noWrap w:val="0"/>
            <w:vAlign w:val="center"/>
          </w:tcPr>
          <w:p w14:paraId="0BA207A7">
            <w:pPr>
              <w:tabs>
                <w:tab w:val="left" w:pos="1590"/>
                <w:tab w:val="left" w:pos="3409"/>
                <w:tab w:val="left" w:pos="4847"/>
                <w:tab w:val="left" w:pos="6135"/>
                <w:tab w:val="left" w:pos="7020"/>
                <w:tab w:val="left" w:pos="7891"/>
              </w:tabs>
              <w:rPr>
                <w:rFonts w:hint="eastAsia" w:ascii="宋体" w:hAnsi="宋体" w:cs="Tahoma"/>
                <w:color w:val="auto"/>
              </w:rPr>
            </w:pPr>
            <w:r>
              <w:rPr>
                <w:rFonts w:hint="eastAsia" w:ascii="宋体" w:hAnsi="宋体" w:cs="Tahoma"/>
                <w:color w:val="auto"/>
              </w:rPr>
              <w:t xml:space="preserve">合同编号： </w:t>
            </w:r>
            <w:r>
              <w:rPr>
                <w:rFonts w:ascii="宋体" w:hAnsi="宋体" w:cs="Tahoma"/>
                <w:color w:val="auto"/>
              </w:rPr>
              <w:t xml:space="preserve">    </w:t>
            </w:r>
            <w:r>
              <w:rPr>
                <w:rFonts w:hint="eastAsia" w:ascii="宋体" w:hAnsi="宋体" w:cs="Tahoma"/>
                <w:color w:val="auto"/>
              </w:rPr>
              <w:t xml:space="preserve">                  合同自编号： </w:t>
            </w:r>
            <w:r>
              <w:rPr>
                <w:rFonts w:hint="eastAsia" w:ascii="宋体" w:hAnsi="宋体" w:cs="Tahoma"/>
                <w:color w:val="auto"/>
              </w:rPr>
              <w:tab/>
            </w:r>
            <w:r>
              <w:rPr>
                <w:rFonts w:hint="eastAsia" w:ascii="宋体" w:hAnsi="宋体" w:cs="Tahoma"/>
                <w:color w:val="auto"/>
              </w:rPr>
              <w:tab/>
            </w:r>
            <w:r>
              <w:rPr>
                <w:rFonts w:hint="eastAsia" w:ascii="宋体" w:hAnsi="宋体" w:cs="Tahoma"/>
                <w:color w:val="auto"/>
              </w:rPr>
              <w:t xml:space="preserve">招标编号： </w:t>
            </w:r>
          </w:p>
          <w:p w14:paraId="73B41D77">
            <w:pPr>
              <w:tabs>
                <w:tab w:val="left" w:pos="1590"/>
                <w:tab w:val="left" w:pos="3409"/>
                <w:tab w:val="left" w:pos="4847"/>
                <w:tab w:val="left" w:pos="6135"/>
                <w:tab w:val="left" w:pos="7020"/>
                <w:tab w:val="left" w:pos="7891"/>
              </w:tabs>
              <w:rPr>
                <w:rFonts w:ascii="宋体" w:hAnsi="宋体" w:cs="Tahoma"/>
                <w:color w:val="auto"/>
              </w:rPr>
            </w:pPr>
          </w:p>
        </w:tc>
      </w:tr>
    </w:tbl>
    <w:p w14:paraId="086FA40F">
      <w:pPr>
        <w:spacing w:after="240"/>
        <w:jc w:val="center"/>
        <w:rPr>
          <w:rFonts w:hint="eastAsia" w:ascii="宋体" w:hAnsi="宋体" w:cs="Tahoma"/>
          <w:color w:val="auto"/>
        </w:rPr>
      </w:pPr>
      <w:r>
        <w:rPr>
          <w:rFonts w:hint="eastAsia" w:ascii="宋体" w:hAnsi="宋体" w:cs="Tahoma"/>
          <w:color w:val="auto"/>
        </w:rPr>
        <w:t>●本合同须加盖甲乙双方骑缝章有效</w:t>
      </w:r>
    </w:p>
    <w:p w14:paraId="5AB770F7">
      <w:pPr>
        <w:pStyle w:val="4"/>
        <w:rPr>
          <w:rFonts w:hint="eastAsia"/>
          <w:color w:val="auto"/>
        </w:rPr>
      </w:pPr>
    </w:p>
    <w:p w14:paraId="454D31B1">
      <w:pPr>
        <w:spacing w:line="360" w:lineRule="auto"/>
        <w:ind w:firstLine="690" w:firstLineChars="177"/>
        <w:jc w:val="center"/>
        <w:rPr>
          <w:rFonts w:hint="eastAsia" w:ascii="宋体" w:hAnsi="宋体" w:cs="Tahoma"/>
          <w:color w:val="auto"/>
          <w:sz w:val="39"/>
          <w:szCs w:val="39"/>
        </w:rPr>
      </w:pPr>
      <w:r>
        <w:rPr>
          <w:rFonts w:hint="eastAsia" w:ascii="宋体" w:hAnsi="宋体" w:cs="Tahoma"/>
          <w:color w:val="auto"/>
          <w:sz w:val="39"/>
          <w:szCs w:val="39"/>
        </w:rPr>
        <w:t>云南省省级政府采购</w:t>
      </w:r>
    </w:p>
    <w:p w14:paraId="34D4ED32">
      <w:pPr>
        <w:pStyle w:val="4"/>
        <w:rPr>
          <w:rFonts w:hint="eastAsia"/>
          <w:color w:val="auto"/>
        </w:rPr>
      </w:pPr>
    </w:p>
    <w:p w14:paraId="23579E66">
      <w:pPr>
        <w:spacing w:line="360" w:lineRule="auto"/>
        <w:ind w:firstLine="424" w:firstLineChars="177"/>
        <w:jc w:val="center"/>
        <w:rPr>
          <w:rFonts w:ascii="宋体" w:hAnsi="宋体" w:cs="Tahoma"/>
          <w:color w:val="auto"/>
          <w:sz w:val="18"/>
          <w:szCs w:val="18"/>
        </w:rPr>
      </w:pPr>
      <w:r>
        <w:rPr>
          <w:rFonts w:hint="eastAsia" w:ascii="宋体" w:hAnsi="宋体"/>
          <w:color w:val="auto"/>
          <w:sz w:val="24"/>
        </w:rPr>
        <w:t>本合同仅供参考，最终合同内容以甲乙双方共同签约的为准。</w:t>
      </w:r>
    </w:p>
    <w:p w14:paraId="004B6A82">
      <w:pPr>
        <w:spacing w:after="240"/>
        <w:jc w:val="center"/>
        <w:rPr>
          <w:rFonts w:hint="eastAsia" w:ascii="宋体" w:hAnsi="宋体" w:cs="Tahoma"/>
          <w:color w:val="auto"/>
          <w:sz w:val="18"/>
          <w:szCs w:val="18"/>
        </w:rPr>
      </w:pPr>
      <w:r>
        <w:rPr>
          <w:rFonts w:hint="eastAsia" w:ascii="宋体" w:hAnsi="宋体" w:cs="Tahoma"/>
          <w:color w:val="auto"/>
          <w:sz w:val="33"/>
          <w:szCs w:val="33"/>
        </w:rPr>
        <w:t>（委托采购）</w:t>
      </w:r>
      <w:r>
        <w:rPr>
          <w:rFonts w:hint="eastAsia" w:ascii="宋体" w:hAnsi="宋体" w:cs="Tahoma"/>
          <w:color w:val="auto"/>
          <w:sz w:val="18"/>
          <w:szCs w:val="18"/>
        </w:rPr>
        <w:t xml:space="preserve"> </w:t>
      </w:r>
    </w:p>
    <w:p w14:paraId="47701EE3">
      <w:pPr>
        <w:pStyle w:val="4"/>
        <w:rPr>
          <w:rFonts w:hint="eastAsia"/>
          <w:color w:val="auto"/>
        </w:rPr>
      </w:pPr>
    </w:p>
    <w:p w14:paraId="09F643AB">
      <w:pPr>
        <w:pStyle w:val="4"/>
        <w:rPr>
          <w:rFonts w:hint="eastAsia"/>
          <w:color w:val="auto"/>
        </w:rPr>
      </w:pPr>
    </w:p>
    <w:p w14:paraId="5A7DC49D">
      <w:pPr>
        <w:spacing w:after="240"/>
        <w:jc w:val="center"/>
        <w:rPr>
          <w:rFonts w:ascii="宋体" w:hAnsi="宋体" w:cs="Tahoma"/>
          <w:color w:val="auto"/>
          <w:sz w:val="18"/>
          <w:szCs w:val="18"/>
        </w:rPr>
      </w:pPr>
      <w:r>
        <w:rPr>
          <w:rFonts w:hint="eastAsia" w:ascii="宋体" w:hAnsi="宋体" w:cs="Tahoma"/>
          <w:color w:val="auto"/>
          <w:sz w:val="63"/>
          <w:szCs w:val="63"/>
        </w:rPr>
        <w:t>合</w:t>
      </w:r>
      <w:r>
        <w:rPr>
          <w:rFonts w:hint="eastAsia" w:ascii="宋体" w:hAnsi="宋体" w:cs="Tahoma"/>
          <w:color w:val="auto"/>
          <w:sz w:val="18"/>
          <w:szCs w:val="18"/>
        </w:rPr>
        <w:t xml:space="preserve"> </w:t>
      </w:r>
    </w:p>
    <w:p w14:paraId="1CB5EBED">
      <w:pPr>
        <w:spacing w:after="240"/>
        <w:jc w:val="center"/>
        <w:rPr>
          <w:rFonts w:ascii="宋体" w:hAnsi="宋体" w:cs="Tahoma"/>
          <w:color w:val="auto"/>
          <w:sz w:val="18"/>
          <w:szCs w:val="18"/>
        </w:rPr>
      </w:pPr>
      <w:r>
        <w:rPr>
          <w:rFonts w:hint="eastAsia" w:ascii="宋体" w:hAnsi="宋体" w:cs="Tahoma"/>
          <w:color w:val="auto"/>
          <w:sz w:val="63"/>
          <w:szCs w:val="63"/>
        </w:rPr>
        <w:t>同</w:t>
      </w:r>
    </w:p>
    <w:p w14:paraId="7FEA22DE">
      <w:pPr>
        <w:spacing w:after="240"/>
        <w:jc w:val="center"/>
        <w:rPr>
          <w:rFonts w:hint="eastAsia" w:ascii="宋体" w:hAnsi="宋体" w:cs="Tahoma"/>
          <w:color w:val="auto"/>
          <w:sz w:val="18"/>
          <w:szCs w:val="18"/>
        </w:rPr>
      </w:pPr>
      <w:r>
        <w:rPr>
          <w:rFonts w:hint="eastAsia" w:ascii="宋体" w:hAnsi="宋体" w:cs="Tahoma"/>
          <w:color w:val="auto"/>
          <w:sz w:val="63"/>
          <w:szCs w:val="63"/>
        </w:rPr>
        <w:t>书</w:t>
      </w:r>
    </w:p>
    <w:p w14:paraId="74406F04">
      <w:pPr>
        <w:spacing w:after="240"/>
        <w:jc w:val="left"/>
        <w:rPr>
          <w:rFonts w:ascii="宋体" w:hAnsi="宋体" w:cs="Tahoma"/>
          <w:color w:val="auto"/>
          <w:sz w:val="18"/>
          <w:szCs w:val="18"/>
        </w:rPr>
      </w:pPr>
      <w:r>
        <w:rPr>
          <w:rFonts w:hint="eastAsia" w:ascii="宋体" w:hAnsi="宋体" w:cs="Tahoma"/>
          <w:color w:val="auto"/>
          <w:sz w:val="18"/>
          <w:szCs w:val="18"/>
        </w:rPr>
        <w:t xml:space="preserve">                          </w:t>
      </w:r>
      <w:r>
        <w:rPr>
          <w:rFonts w:ascii="宋体" w:hAnsi="宋体" w:cs="Tahoma"/>
          <w:color w:val="auto"/>
          <w:sz w:val="18"/>
          <w:szCs w:val="18"/>
        </w:rPr>
        <w:t xml:space="preserve">  </w:t>
      </w:r>
      <w:r>
        <w:rPr>
          <w:rFonts w:hint="eastAsia" w:ascii="宋体" w:hAnsi="宋体" w:cs="Tahoma"/>
          <w:b/>
          <w:bCs/>
          <w:color w:val="auto"/>
          <w:sz w:val="27"/>
          <w:szCs w:val="27"/>
        </w:rPr>
        <w:t>签订地点:</w:t>
      </w:r>
    </w:p>
    <w:p w14:paraId="4D763567">
      <w:pPr>
        <w:spacing w:after="240"/>
        <w:jc w:val="center"/>
        <w:rPr>
          <w:rFonts w:hint="eastAsia" w:ascii="宋体" w:hAnsi="宋体" w:cs="Tahoma"/>
          <w:b/>
          <w:bCs/>
          <w:color w:val="auto"/>
          <w:sz w:val="27"/>
          <w:szCs w:val="27"/>
        </w:rPr>
      </w:pPr>
      <w:r>
        <w:rPr>
          <w:rFonts w:hint="eastAsia" w:ascii="宋体" w:hAnsi="宋体" w:cs="Tahoma"/>
          <w:b/>
          <w:bCs/>
          <w:color w:val="auto"/>
          <w:sz w:val="27"/>
          <w:szCs w:val="27"/>
        </w:rPr>
        <w:t xml:space="preserve">签订日期:    年　 月　日 </w:t>
      </w:r>
    </w:p>
    <w:p w14:paraId="4348DC01">
      <w:pPr>
        <w:pStyle w:val="4"/>
        <w:rPr>
          <w:rFonts w:hint="eastAsia"/>
          <w:color w:val="auto"/>
        </w:rPr>
      </w:pPr>
    </w:p>
    <w:p w14:paraId="4FE32749">
      <w:pPr>
        <w:pStyle w:val="18"/>
        <w:jc w:val="center"/>
        <w:rPr>
          <w:rFonts w:hint="eastAsia" w:ascii="宋体" w:hAnsi="宋体" w:eastAsia="宋体" w:cs="宋体"/>
          <w:color w:val="auto"/>
          <w:sz w:val="44"/>
          <w:szCs w:val="44"/>
          <w:lang w:eastAsia="zh-CN"/>
        </w:rPr>
      </w:pPr>
      <w:r>
        <w:rPr>
          <w:rFonts w:hint="eastAsia" w:cs="Tahoma"/>
          <w:b/>
          <w:bCs/>
          <w:color w:val="auto"/>
          <w:sz w:val="27"/>
          <w:szCs w:val="27"/>
        </w:rPr>
        <w:t xml:space="preserve">云南省财政厅　制 </w:t>
      </w:r>
      <w:r>
        <w:rPr>
          <w:b/>
          <w:color w:val="auto"/>
        </w:rPr>
        <w:br w:type="page"/>
      </w:r>
      <w:r>
        <w:rPr>
          <w:rFonts w:hint="eastAsia" w:ascii="宋体" w:hAnsi="宋体" w:eastAsia="宋体" w:cs="宋体"/>
          <w:color w:val="auto"/>
          <w:sz w:val="44"/>
          <w:szCs w:val="44"/>
          <w:lang w:eastAsia="zh-CN"/>
        </w:rPr>
        <w:t>使用说明</w:t>
      </w:r>
    </w:p>
    <w:p w14:paraId="0B52F470">
      <w:p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1.本合同标准文本适用于购买现成货物的采购项目，不包括需要供应商定制开发、创新研发的货物采购项目。</w:t>
      </w:r>
    </w:p>
    <w:p w14:paraId="490AACC3">
      <w:pPr>
        <w:ind w:firstLine="0" w:firstLineChars="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2.本合同标准文本为政府采购货物买卖合同编制提供参考，可以结合采购项目具体情况，对文本作必要的调整修订后使用。</w:t>
      </w:r>
    </w:p>
    <w:p w14:paraId="0FCC581B">
      <w:p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3.本合同标准文本各条款中，如涉及填写多家供应商、制造商，多种采购标的、分包主要内容等信息的，可根据采购项目具体情况添加信息项。</w:t>
      </w:r>
    </w:p>
    <w:p w14:paraId="3271B599">
      <w:pPr>
        <w:ind w:firstLine="880" w:firstLineChars="200"/>
        <w:jc w:val="both"/>
        <w:rPr>
          <w:rFonts w:hint="eastAsia" w:ascii="宋体" w:hAnsi="宋体" w:eastAsia="宋体" w:cs="宋体"/>
          <w:color w:val="auto"/>
          <w:sz w:val="44"/>
          <w:szCs w:val="4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47"/>
          <w:cols w:space="720" w:num="1"/>
          <w:docGrid w:type="lines" w:linePitch="312" w:charSpace="0"/>
        </w:sectPr>
      </w:pPr>
    </w:p>
    <w:p w14:paraId="44BFDEEF">
      <w:pPr>
        <w:pStyle w:val="3"/>
        <w:keepNext/>
        <w:keepLines w:val="0"/>
        <w:pageBreakBefore w:val="0"/>
        <w:widowControl w:val="0"/>
        <w:numPr>
          <w:ilvl w:val="1"/>
          <w:numId w:val="0"/>
        </w:numPr>
        <w:kinsoku/>
        <w:wordWrap/>
        <w:overflowPunct/>
        <w:topLinePunct w:val="0"/>
        <w:autoSpaceDE/>
        <w:autoSpaceDN/>
        <w:bidi w:val="0"/>
        <w:adjustRightInd w:val="0"/>
        <w:snapToGrid w:val="0"/>
        <w:spacing w:before="156" w:beforeLines="50" w:after="161" w:afterLines="50"/>
        <w:jc w:val="center"/>
        <w:textAlignment w:val="baseline"/>
        <w:rPr>
          <w:rFonts w:hint="eastAsia" w:ascii="宋体" w:hAnsi="宋体" w:eastAsia="宋体" w:cs="宋体"/>
          <w:b/>
          <w:bCs/>
          <w:color w:val="auto"/>
          <w:sz w:val="28"/>
          <w:szCs w:val="28"/>
        </w:rPr>
      </w:pPr>
      <w:bookmarkStart w:id="95" w:name="_Toc18799"/>
      <w:bookmarkStart w:id="96" w:name="_Toc22209"/>
      <w:bookmarkStart w:id="97" w:name="_Toc1786"/>
      <w:r>
        <w:rPr>
          <w:rFonts w:hint="eastAsia" w:ascii="宋体" w:hAnsi="宋体" w:eastAsia="宋体" w:cs="宋体"/>
          <w:b/>
          <w:bCs/>
          <w:color w:val="auto"/>
          <w:sz w:val="28"/>
          <w:szCs w:val="28"/>
        </w:rPr>
        <w:t>第一节 政府采购合同协议书</w:t>
      </w:r>
      <w:bookmarkEnd w:id="95"/>
      <w:bookmarkEnd w:id="96"/>
      <w:bookmarkEnd w:id="97"/>
    </w:p>
    <w:p w14:paraId="621656C8">
      <w:pPr>
        <w:adjustRightInd w:val="0"/>
        <w:snapToGrid w:val="0"/>
        <w:spacing w:before="0" w:beforeLines="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甲方（全称）：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（采购人</w:t>
      </w:r>
      <w:r>
        <w:rPr>
          <w:rFonts w:hint="eastAsia" w:ascii="宋体" w:hAnsi="宋体" w:eastAsia="宋体" w:cs="宋体"/>
          <w:color w:val="auto"/>
          <w:sz w:val="24"/>
          <w:szCs w:val="24"/>
          <w:lang w:eastAsia="zh-CN"/>
        </w:rPr>
        <w:t>、受采购人委托签订合同的单位</w:t>
      </w:r>
      <w:r>
        <w:rPr>
          <w:rFonts w:hint="eastAsia" w:ascii="宋体" w:hAnsi="宋体" w:eastAsia="宋体" w:cs="宋体"/>
          <w:color w:val="auto"/>
          <w:sz w:val="24"/>
          <w:szCs w:val="24"/>
        </w:rPr>
        <w:t>或采购</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文件约定的合同甲方）</w:t>
      </w:r>
    </w:p>
    <w:p w14:paraId="307C9FCF">
      <w:pPr>
        <w:adjustRightInd w:val="0"/>
        <w:snapToGrid w:val="0"/>
        <w:spacing w:before="0" w:beforeLines="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乙方</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（全称）：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（供应商）</w:t>
      </w:r>
    </w:p>
    <w:p w14:paraId="55A58403">
      <w:pPr>
        <w:adjustRightInd w:val="0"/>
        <w:snapToGrid w:val="0"/>
        <w:spacing w:before="0" w:beforeLines="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乙方2（全称）：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（联合体成员供应商或其他合同主体）（如有）</w:t>
      </w:r>
    </w:p>
    <w:p w14:paraId="2F31E140">
      <w:pPr>
        <w:adjustRightInd w:val="0"/>
        <w:snapToGrid w:val="0"/>
        <w:spacing w:before="0" w:beforeLines="0"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乙方</w:t>
      </w:r>
      <w:r>
        <w:rPr>
          <w:rFonts w:hint="eastAsia" w:ascii="宋体" w:hAnsi="宋体" w:eastAsia="宋体" w:cs="宋体"/>
          <w:color w:val="auto"/>
          <w:sz w:val="24"/>
          <w:szCs w:val="24"/>
          <w:lang w:val="en-US" w:eastAsia="zh-CN"/>
        </w:rPr>
        <w:t>3（全称）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（联合体成员供应商或其他合同主体）（如有）</w:t>
      </w:r>
    </w:p>
    <w:p w14:paraId="189A0F6D">
      <w:pPr>
        <w:spacing w:beforeLines="0" w:line="360" w:lineRule="auto"/>
        <w:rPr>
          <w:rFonts w:hint="eastAsia" w:ascii="宋体" w:hAnsi="宋体" w:eastAsia="宋体" w:cs="宋体"/>
          <w:color w:val="auto"/>
          <w:sz w:val="24"/>
          <w:szCs w:val="24"/>
          <w:lang w:val="en-US" w:eastAsia="zh-CN"/>
        </w:rPr>
      </w:pPr>
    </w:p>
    <w:p w14:paraId="3C3F0E3F">
      <w:pPr>
        <w:pStyle w:val="9"/>
        <w:adjustRightInd w:val="0"/>
        <w:snapToGrid w:val="0"/>
        <w:spacing w:before="0" w:beforeLines="0" w:after="0" w:line="360" w:lineRule="auto"/>
        <w:ind w:left="0" w:leftChars="0" w:firstLine="464"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依据《中华人民共和国民法典》</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《中华人民共和国政府采购法》等有关的法律法规，以及</w:t>
      </w:r>
      <w:r>
        <w:rPr>
          <w:rFonts w:hint="eastAsia" w:ascii="宋体" w:hAnsi="宋体" w:eastAsia="宋体" w:cs="宋体"/>
          <w:i w:val="0"/>
          <w:iCs w:val="0"/>
          <w:color w:val="auto"/>
          <w:sz w:val="24"/>
          <w:szCs w:val="24"/>
          <w:u w:val="none"/>
          <w:lang w:eastAsia="zh-CN"/>
        </w:rPr>
        <w:t>本采购项目</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招标</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lang w:eastAsia="zh-CN"/>
        </w:rPr>
        <w:t>文件等</w:t>
      </w:r>
      <w:r>
        <w:rPr>
          <w:rFonts w:hint="eastAsia" w:ascii="宋体" w:hAnsi="宋体" w:eastAsia="宋体" w:cs="宋体"/>
          <w:color w:val="auto"/>
          <w:sz w:val="24"/>
          <w:szCs w:val="24"/>
        </w:rPr>
        <w:t>采购文件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乙方的《投标（响应）文件》及《中标（成交）通知书》，甲乙双方同意签订本合同。具体情况及要求如下：     </w:t>
      </w:r>
    </w:p>
    <w:p w14:paraId="43E9C823">
      <w:pPr>
        <w:numPr>
          <w:ilvl w:val="0"/>
          <w:numId w:val="8"/>
        </w:numPr>
        <w:adjustRightInd w:val="0"/>
        <w:snapToGrid w:val="0"/>
        <w:spacing w:before="0" w:beforeLines="0"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项目信息</w:t>
      </w:r>
    </w:p>
    <w:p w14:paraId="1BA498DD">
      <w:pPr>
        <w:pStyle w:val="9"/>
        <w:numPr>
          <w:ilvl w:val="0"/>
          <w:numId w:val="9"/>
        </w:numPr>
        <w:adjustRightInd w:val="0"/>
        <w:snapToGrid w:val="0"/>
        <w:spacing w:before="0" w:beforeLines="0" w:after="0" w:line="360" w:lineRule="auto"/>
        <w:ind w:left="0" w:leftChars="0" w:firstLine="464"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采购项目名称：</w:t>
      </w:r>
      <w:r>
        <w:rPr>
          <w:rFonts w:hint="eastAsia" w:ascii="宋体" w:hAnsi="宋体" w:eastAsia="宋体" w:cs="宋体"/>
          <w:color w:val="auto"/>
          <w:sz w:val="24"/>
          <w:szCs w:val="24"/>
          <w:u w:val="single"/>
        </w:rPr>
        <w:t xml:space="preserve">                                          </w:t>
      </w:r>
    </w:p>
    <w:p w14:paraId="7AD44AB8">
      <w:pPr>
        <w:pStyle w:val="9"/>
        <w:numPr>
          <w:ilvl w:val="0"/>
          <w:numId w:val="0"/>
        </w:numPr>
        <w:tabs>
          <w:tab w:val="left" w:pos="999"/>
        </w:tabs>
        <w:adjustRightInd w:val="0"/>
        <w:snapToGrid w:val="0"/>
        <w:spacing w:before="0" w:beforeLines="0" w:after="0" w:line="360" w:lineRule="auto"/>
        <w:ind w:left="0" w:leftChars="0" w:firstLine="0" w:firstLineChars="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 xml:space="preserve">         采购项目编号：</w:t>
      </w:r>
      <w:r>
        <w:rPr>
          <w:rFonts w:hint="eastAsia" w:ascii="宋体" w:hAnsi="宋体" w:eastAsia="宋体" w:cs="宋体"/>
          <w:color w:val="auto"/>
          <w:sz w:val="24"/>
          <w:szCs w:val="24"/>
          <w:u w:val="single"/>
        </w:rPr>
        <w:t xml:space="preserve">                                          </w:t>
      </w:r>
    </w:p>
    <w:p w14:paraId="3C064992">
      <w:pPr>
        <w:pStyle w:val="9"/>
        <w:adjustRightInd w:val="0"/>
        <w:snapToGrid w:val="0"/>
        <w:spacing w:before="0" w:beforeLines="0" w:after="0" w:line="360" w:lineRule="auto"/>
        <w:ind w:left="0" w:leftChars="0" w:firstLine="464"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（2）采购计划编号：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1533F4D0">
      <w:pPr>
        <w:adjustRightInd w:val="0"/>
        <w:snapToGrid w:val="0"/>
        <w:spacing w:before="0" w:beforeLines="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（3）项目内容：</w:t>
      </w:r>
    </w:p>
    <w:p w14:paraId="565AD9FA">
      <w:pPr>
        <w:adjustRightInd w:val="0"/>
        <w:snapToGrid w:val="0"/>
        <w:spacing w:before="0" w:beforeLines="0"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采购标的及数量</w:t>
      </w:r>
      <w:r>
        <w:rPr>
          <w:rFonts w:hint="eastAsia" w:ascii="宋体" w:hAnsi="宋体" w:eastAsia="宋体" w:cs="宋体"/>
          <w:color w:val="auto"/>
          <w:sz w:val="24"/>
          <w:szCs w:val="24"/>
          <w:lang w:val="en-US" w:eastAsia="zh-CN"/>
        </w:rPr>
        <w:t>（台/套</w:t>
      </w:r>
      <w:r>
        <w:rPr>
          <w:rFonts w:hint="eastAsia" w:ascii="宋体" w:hAnsi="宋体" w:eastAsia="宋体" w:cs="宋体"/>
          <w:color w:val="auto"/>
          <w:sz w:val="24"/>
          <w:szCs w:val="24"/>
          <w:lang w:val="en" w:eastAsia="zh-CN"/>
        </w:rPr>
        <w:t>/个/架/组等</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68F0A9ED">
      <w:pPr>
        <w:numPr>
          <w:ilvl w:val="0"/>
          <w:numId w:val="0"/>
        </w:numPr>
        <w:adjustRightInd w:val="0"/>
        <w:snapToGrid w:val="0"/>
        <w:spacing w:before="0" w:beforeLines="0" w:line="360" w:lineRule="auto"/>
        <w:ind w:firstLine="480" w:firstLineChars="200"/>
        <w:rPr>
          <w:rFonts w:hint="eastAsia" w:ascii="宋体" w:hAnsi="宋体" w:eastAsia="宋体" w:cs="宋体"/>
          <w:color w:val="auto"/>
          <w:sz w:val="24"/>
          <w:szCs w:val="24"/>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lang w:val="en-US" w:eastAsia="zh-CN"/>
        </w:rPr>
        <w:t>品牌：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 w:eastAsia="zh-CN"/>
        </w:rPr>
        <w:t xml:space="preserve">     </w:t>
      </w:r>
      <w:r>
        <w:rPr>
          <w:rFonts w:hint="eastAsia" w:ascii="宋体" w:hAnsi="宋体" w:eastAsia="宋体" w:cs="宋体"/>
          <w:color w:val="auto"/>
          <w:sz w:val="24"/>
          <w:szCs w:val="24"/>
          <w:lang w:val="en-US" w:eastAsia="zh-CN"/>
        </w:rPr>
        <w:t>规格型号：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 w:eastAsia="zh-CN"/>
        </w:rPr>
        <w:t xml:space="preserve">   </w:t>
      </w:r>
    </w:p>
    <w:p w14:paraId="3AE968A4">
      <w:pPr>
        <w:adjustRightInd w:val="0"/>
        <w:snapToGrid w:val="0"/>
        <w:spacing w:before="0" w:beforeLines="0"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0F412418">
      <w:pPr>
        <w:numPr>
          <w:ilvl w:val="0"/>
          <w:numId w:val="0"/>
        </w:numPr>
        <w:adjustRightInd w:val="0"/>
        <w:snapToGrid w:val="0"/>
        <w:spacing w:before="0" w:beforeLines="0" w:line="360" w:lineRule="auto"/>
        <w:ind w:firstLine="1080" w:firstLineChars="4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①涉及信息类产品，请填写该产品关键部件的品牌、型号：</w:t>
      </w:r>
    </w:p>
    <w:p w14:paraId="2E76F2C6">
      <w:pPr>
        <w:numPr>
          <w:ilvl w:val="0"/>
          <w:numId w:val="0"/>
        </w:numPr>
        <w:adjustRightInd w:val="0"/>
        <w:snapToGrid w:val="0"/>
        <w:spacing w:before="0" w:beforeLines="0" w:line="360" w:lineRule="auto"/>
        <w:ind w:firstLine="480" w:firstLineChars="200"/>
        <w:rPr>
          <w:rFonts w:hint="eastAsia" w:ascii="宋体" w:hAnsi="宋体" w:eastAsia="宋体" w:cs="宋体"/>
          <w:color w:val="auto"/>
          <w:kern w:val="0"/>
          <w:sz w:val="24"/>
          <w:szCs w:val="24"/>
          <w:u w:val="single"/>
          <w:lang w:val="en-US" w:eastAsia="zh-CN"/>
        </w:rPr>
      </w:pPr>
      <w:r>
        <w:rPr>
          <w:rFonts w:hint="eastAsia" w:ascii="宋体" w:hAnsi="宋体" w:eastAsia="宋体" w:cs="宋体"/>
          <w:color w:val="auto"/>
          <w:sz w:val="24"/>
          <w:szCs w:val="24"/>
          <w:lang w:val="en-US" w:eastAsia="zh-CN"/>
        </w:rPr>
        <w:t xml:space="preserve">     标的名称：</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 w:eastAsia="zh-CN"/>
        </w:rPr>
        <w:t xml:space="preserve">               </w:t>
      </w:r>
      <w:r>
        <w:rPr>
          <w:rFonts w:hint="eastAsia" w:ascii="宋体" w:hAnsi="宋体" w:eastAsia="宋体" w:cs="宋体"/>
          <w:color w:val="auto"/>
          <w:kern w:val="0"/>
          <w:sz w:val="24"/>
          <w:szCs w:val="24"/>
          <w:u w:val="single"/>
          <w:lang w:val="en-US" w:eastAsia="zh-CN"/>
        </w:rPr>
        <w:t xml:space="preserve">    </w:t>
      </w:r>
    </w:p>
    <w:p w14:paraId="033F9C75">
      <w:pPr>
        <w:numPr>
          <w:ilvl w:val="0"/>
          <w:numId w:val="0"/>
        </w:numPr>
        <w:adjustRightInd w:val="0"/>
        <w:snapToGrid w:val="0"/>
        <w:spacing w:before="0" w:beforeLines="0"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关键部件：</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w:t>
      </w:r>
      <w:r>
        <w:rPr>
          <w:rFonts w:hint="eastAsia" w:ascii="宋体" w:hAnsi="宋体" w:eastAsia="宋体" w:cs="宋体"/>
          <w:color w:val="auto"/>
          <w:sz w:val="24"/>
          <w:szCs w:val="24"/>
          <w:lang w:val="en-US" w:eastAsia="zh-CN"/>
        </w:rPr>
        <w:t>品牌：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型号：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6B6F9761">
      <w:pPr>
        <w:pStyle w:val="57"/>
        <w:spacing w:beforeLines="0"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kern w:val="2"/>
          <w:sz w:val="24"/>
          <w:szCs w:val="24"/>
          <w:lang w:val="en-US" w:eastAsia="zh-CN"/>
        </w:rPr>
        <w:t>关键部件</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品牌：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型号：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p>
    <w:p w14:paraId="2D83BFE7">
      <w:pPr>
        <w:pStyle w:val="57"/>
        <w:spacing w:beforeLines="0"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关键部件：</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品牌：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型号：</w:t>
      </w:r>
      <w:r>
        <w:rPr>
          <w:rFonts w:hint="eastAsia" w:ascii="宋体" w:hAnsi="宋体" w:eastAsia="宋体" w:cs="宋体"/>
          <w:color w:val="auto"/>
          <w:sz w:val="24"/>
          <w:szCs w:val="24"/>
          <w:u w:val="single"/>
          <w:lang w:val="en-US" w:eastAsia="zh-CN"/>
        </w:rPr>
        <w:t xml:space="preserve">       </w:t>
      </w:r>
    </w:p>
    <w:p w14:paraId="38761228">
      <w:pPr>
        <w:pStyle w:val="57"/>
        <w:numPr>
          <w:ilvl w:val="0"/>
          <w:numId w:val="0"/>
        </w:numPr>
        <w:adjustRightInd w:val="0"/>
        <w:snapToGrid w:val="0"/>
        <w:spacing w:before="0" w:beforeLines="0" w:line="360" w:lineRule="auto"/>
        <w:ind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946C535">
      <w:pPr>
        <w:pStyle w:val="57"/>
        <w:numPr>
          <w:ilvl w:val="0"/>
          <w:numId w:val="0"/>
        </w:numPr>
        <w:adjustRightInd w:val="0"/>
        <w:snapToGrid w:val="0"/>
        <w:spacing w:before="0" w:beforeLines="0" w:line="360" w:lineRule="auto"/>
        <w:ind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②涉及车辆采购，请填写是否属于新能源汽车：</w:t>
      </w:r>
    </w:p>
    <w:p w14:paraId="673B36E9">
      <w:pPr>
        <w:pStyle w:val="57"/>
        <w:keepNext w:val="0"/>
        <w:keepLines w:val="0"/>
        <w:pageBreakBefore w:val="0"/>
        <w:widowControl/>
        <w:numPr>
          <w:ilvl w:val="0"/>
          <w:numId w:val="0"/>
        </w:numPr>
        <w:kinsoku/>
        <w:wordWrap/>
        <w:overflowPunct/>
        <w:topLinePunct w:val="0"/>
        <w:autoSpaceDE w:val="0"/>
        <w:autoSpaceDN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是</w:t>
      </w:r>
      <w:r>
        <w:rPr>
          <w:rFonts w:hint="eastAsia" w:ascii="宋体" w:hAnsi="宋体" w:eastAsia="宋体" w:cs="宋体"/>
          <w:iCs w:val="0"/>
          <w:color w:val="auto"/>
          <w:sz w:val="24"/>
          <w:szCs w:val="24"/>
          <w:lang w:eastAsia="zh-CN"/>
        </w:rPr>
        <w:t>，《政府采购品目分类目录》底级品目名称</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数量：</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金额：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iCs w:val="0"/>
          <w:color w:val="auto"/>
          <w:sz w:val="24"/>
          <w:szCs w:val="24"/>
          <w:lang w:val="en-US" w:eastAsia="zh-CN"/>
        </w:rPr>
        <w:t xml:space="preserve"> </w:t>
      </w:r>
    </w:p>
    <w:p w14:paraId="5BE4F2A5">
      <w:pPr>
        <w:pStyle w:val="57"/>
        <w:keepNext w:val="0"/>
        <w:keepLines w:val="0"/>
        <w:pageBreakBefore w:val="0"/>
        <w:widowControl/>
        <w:numPr>
          <w:ilvl w:val="0"/>
          <w:numId w:val="0"/>
        </w:numPr>
        <w:kinsoku/>
        <w:wordWrap/>
        <w:overflowPunct/>
        <w:topLinePunct w:val="0"/>
        <w:autoSpaceDE w:val="0"/>
        <w:autoSpaceDN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lang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否</w:t>
      </w:r>
    </w:p>
    <w:p w14:paraId="08823398">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left="0" w:firstLine="480" w:firstLineChars="200"/>
        <w:textAlignment w:val="auto"/>
        <w:rPr>
          <w:rFonts w:hint="eastAsia" w:ascii="宋体" w:hAnsi="宋体" w:eastAsia="宋体" w:cs="宋体"/>
          <w:iCs w:val="0"/>
          <w:color w:val="auto"/>
          <w:sz w:val="24"/>
          <w:szCs w:val="24"/>
          <w:lang w:val="en-US" w:eastAsia="zh-CN"/>
        </w:rPr>
      </w:pPr>
      <w:r>
        <w:rPr>
          <w:rFonts w:hint="eastAsia" w:ascii="宋体" w:hAnsi="宋体" w:eastAsia="宋体" w:cs="宋体"/>
          <w:iCs w:val="0"/>
          <w:color w:val="auto"/>
          <w:sz w:val="24"/>
          <w:szCs w:val="24"/>
          <w:lang w:val="en-US" w:eastAsia="zh-CN"/>
        </w:rPr>
        <w:t>（</w:t>
      </w:r>
      <w:r>
        <w:rPr>
          <w:rFonts w:hint="eastAsia" w:ascii="宋体" w:hAnsi="宋体" w:eastAsia="宋体" w:cs="宋体"/>
          <w:iCs w:val="0"/>
          <w:color w:val="auto"/>
          <w:sz w:val="24"/>
          <w:szCs w:val="24"/>
          <w:lang w:val="en" w:eastAsia="zh-CN"/>
        </w:rPr>
        <w:t>4</w:t>
      </w:r>
      <w:r>
        <w:rPr>
          <w:rFonts w:hint="eastAsia" w:ascii="宋体" w:hAnsi="宋体" w:eastAsia="宋体" w:cs="宋体"/>
          <w:iCs w:val="0"/>
          <w:color w:val="auto"/>
          <w:sz w:val="24"/>
          <w:szCs w:val="24"/>
          <w:lang w:val="en-US" w:eastAsia="zh-CN"/>
        </w:rPr>
        <w:t>）政府采购组织形式：</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政府集中采购</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val="en-US" w:eastAsia="zh-CN"/>
        </w:rPr>
        <w:t xml:space="preserve">部门集中采购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val="en-US" w:eastAsia="zh-CN"/>
        </w:rPr>
        <w:t>分散采购</w:t>
      </w:r>
    </w:p>
    <w:p w14:paraId="182B70C5">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lang w:eastAsia="zh-CN"/>
        </w:rPr>
      </w:pPr>
      <w:r>
        <w:rPr>
          <w:rFonts w:hint="eastAsia" w:ascii="宋体" w:hAnsi="宋体" w:eastAsia="宋体" w:cs="宋体"/>
          <w:iCs w:val="0"/>
          <w:color w:val="auto"/>
          <w:sz w:val="24"/>
          <w:szCs w:val="24"/>
          <w:lang w:val="en-US" w:eastAsia="zh-CN"/>
        </w:rPr>
        <w:t>（</w:t>
      </w:r>
      <w:r>
        <w:rPr>
          <w:rFonts w:hint="eastAsia" w:ascii="宋体" w:hAnsi="宋体" w:eastAsia="宋体" w:cs="宋体"/>
          <w:iCs w:val="0"/>
          <w:color w:val="auto"/>
          <w:sz w:val="24"/>
          <w:szCs w:val="24"/>
          <w:lang w:val="en" w:eastAsia="zh-CN"/>
        </w:rPr>
        <w:t>5</w:t>
      </w:r>
      <w:r>
        <w:rPr>
          <w:rFonts w:hint="eastAsia" w:ascii="宋体" w:hAnsi="宋体" w:eastAsia="宋体" w:cs="宋体"/>
          <w:iCs w:val="0"/>
          <w:color w:val="auto"/>
          <w:sz w:val="24"/>
          <w:szCs w:val="24"/>
          <w:lang w:val="en-US" w:eastAsia="zh-CN"/>
        </w:rPr>
        <w:t>）政府采购方式：</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公开招标</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邀请招标</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竞争性谈判</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竞争性磋商</w:t>
      </w:r>
    </w:p>
    <w:p w14:paraId="7D68A75F">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left="0" w:firstLine="480" w:firstLineChars="200"/>
        <w:textAlignment w:val="auto"/>
        <w:rPr>
          <w:rFonts w:hint="eastAsia" w:ascii="宋体" w:hAnsi="宋体" w:eastAsia="宋体" w:cs="宋体"/>
          <w:iCs w:val="0"/>
          <w:color w:val="auto"/>
          <w:sz w:val="24"/>
          <w:szCs w:val="24"/>
          <w:u w:val="single"/>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询价</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单一来源</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框架协议</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其他：</w:t>
      </w:r>
      <w:r>
        <w:rPr>
          <w:rFonts w:hint="eastAsia" w:ascii="宋体" w:hAnsi="宋体" w:eastAsia="宋体" w:cs="宋体"/>
          <w:iCs w:val="0"/>
          <w:color w:val="auto"/>
          <w:sz w:val="24"/>
          <w:szCs w:val="24"/>
          <w:u w:val="single"/>
          <w:lang w:val="en-US" w:eastAsia="zh-CN"/>
        </w:rPr>
        <w:t xml:space="preserve">          </w:t>
      </w:r>
    </w:p>
    <w:p w14:paraId="5234CBF2">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u w:val="none"/>
          <w:lang w:val="en-US" w:eastAsia="zh-CN"/>
        </w:rPr>
      </w:pPr>
      <w:r>
        <w:rPr>
          <w:rFonts w:hint="eastAsia" w:ascii="宋体" w:hAnsi="宋体" w:eastAsia="宋体" w:cs="宋体"/>
          <w:iCs w:val="0"/>
          <w:color w:val="auto"/>
          <w:sz w:val="24"/>
          <w:szCs w:val="24"/>
          <w:u w:val="none"/>
          <w:lang w:val="en-US" w:eastAsia="zh-CN"/>
        </w:rPr>
        <w:t>（注：在框架协议采购的第二阶段，可选择使用该合同文本）</w:t>
      </w:r>
    </w:p>
    <w:p w14:paraId="7C46BC1E">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w w:val="100"/>
          <w:kern w:val="2"/>
          <w:sz w:val="24"/>
          <w:szCs w:val="24"/>
          <w:lang w:val="en-US" w:eastAsia="zh-CN" w:bidi="ar-SA"/>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 w:eastAsia="zh-CN"/>
        </w:rPr>
        <w:t>6</w:t>
      </w:r>
      <w:r>
        <w:rPr>
          <w:rFonts w:hint="eastAsia" w:ascii="宋体" w:hAnsi="宋体" w:eastAsia="宋体" w:cs="宋体"/>
          <w:color w:val="auto"/>
          <w:sz w:val="24"/>
          <w:szCs w:val="24"/>
          <w:lang w:val="en-US" w:eastAsia="zh-CN"/>
        </w:rPr>
        <w:t>）</w:t>
      </w:r>
      <w:r>
        <w:rPr>
          <w:rFonts w:hint="eastAsia" w:ascii="宋体" w:hAnsi="宋体" w:eastAsia="宋体" w:cs="宋体"/>
          <w:color w:val="auto"/>
          <w:w w:val="100"/>
          <w:kern w:val="2"/>
          <w:sz w:val="24"/>
          <w:szCs w:val="24"/>
          <w:lang w:val="en-US" w:eastAsia="zh-CN" w:bidi="ar-SA"/>
        </w:rPr>
        <w:t>中标（成交）采购标的制造商是否为中小企业：</w:t>
      </w:r>
      <w:r>
        <w:rPr>
          <w:rFonts w:hint="eastAsia" w:ascii="宋体" w:hAnsi="宋体" w:eastAsia="宋体" w:cs="宋体"/>
          <w:color w:val="auto"/>
          <w:w w:val="100"/>
          <w:kern w:val="2"/>
          <w:sz w:val="24"/>
          <w:szCs w:val="24"/>
          <w:lang w:val="en-US" w:eastAsia="zh-CN" w:bidi="ar-SA"/>
        </w:rPr>
        <w:sym w:font="Wingdings" w:char="00A8"/>
      </w:r>
      <w:r>
        <w:rPr>
          <w:rFonts w:hint="eastAsia" w:ascii="宋体" w:hAnsi="宋体" w:eastAsia="宋体" w:cs="宋体"/>
          <w:color w:val="auto"/>
          <w:w w:val="100"/>
          <w:kern w:val="2"/>
          <w:sz w:val="24"/>
          <w:szCs w:val="24"/>
          <w:lang w:val="en-US" w:eastAsia="zh-CN" w:bidi="ar-SA"/>
        </w:rPr>
        <w:t xml:space="preserve">是      </w:t>
      </w:r>
      <w:r>
        <w:rPr>
          <w:rFonts w:hint="eastAsia" w:ascii="宋体" w:hAnsi="宋体" w:eastAsia="宋体" w:cs="宋体"/>
          <w:color w:val="auto"/>
          <w:w w:val="100"/>
          <w:kern w:val="2"/>
          <w:sz w:val="24"/>
          <w:szCs w:val="24"/>
          <w:lang w:val="en-US" w:eastAsia="zh-CN" w:bidi="ar-SA"/>
        </w:rPr>
        <w:sym w:font="Wingdings" w:char="00A8"/>
      </w:r>
      <w:r>
        <w:rPr>
          <w:rFonts w:hint="eastAsia" w:ascii="宋体" w:hAnsi="宋体" w:eastAsia="宋体" w:cs="宋体"/>
          <w:color w:val="auto"/>
          <w:w w:val="100"/>
          <w:kern w:val="2"/>
          <w:sz w:val="24"/>
          <w:szCs w:val="24"/>
          <w:lang w:val="en-US" w:eastAsia="zh-CN" w:bidi="ar-SA"/>
        </w:rPr>
        <w:t>否</w:t>
      </w:r>
    </w:p>
    <w:p w14:paraId="70026CCA">
      <w:pPr>
        <w:keepNext w:val="0"/>
        <w:keepLines w:val="0"/>
        <w:pageBreakBefore w:val="0"/>
        <w:numPr>
          <w:ilvl w:val="0"/>
          <w:numId w:val="0"/>
        </w:numPr>
        <w:kinsoku/>
        <w:wordWrap/>
        <w:overflowPunct/>
        <w:topLinePunct w:val="0"/>
        <w:bidi w:val="0"/>
        <w:adjustRightInd w:val="0"/>
        <w:snapToGrid w:val="0"/>
        <w:spacing w:before="0" w:beforeLines="0" w:line="360" w:lineRule="auto"/>
        <w:ind w:left="0" w:leftChars="0" w:firstLine="480" w:firstLineChars="200"/>
        <w:textAlignment w:val="auto"/>
        <w:rPr>
          <w:rFonts w:hint="eastAsia" w:ascii="宋体" w:hAnsi="宋体" w:eastAsia="宋体" w:cs="宋体"/>
          <w:iCs/>
          <w:color w:val="auto"/>
          <w:sz w:val="24"/>
          <w:szCs w:val="24"/>
        </w:rPr>
      </w:pPr>
      <w:r>
        <w:rPr>
          <w:rFonts w:hint="eastAsia" w:ascii="宋体" w:hAnsi="宋体" w:eastAsia="宋体" w:cs="宋体"/>
          <w:color w:val="auto"/>
          <w:w w:val="100"/>
          <w:sz w:val="24"/>
          <w:szCs w:val="24"/>
          <w:lang w:val="en-US" w:eastAsia="zh-CN"/>
        </w:rPr>
        <w:t>本合同</w:t>
      </w:r>
      <w:r>
        <w:rPr>
          <w:rFonts w:hint="eastAsia" w:ascii="宋体" w:hAnsi="宋体" w:eastAsia="宋体" w:cs="宋体"/>
          <w:color w:val="auto"/>
          <w:w w:val="100"/>
          <w:sz w:val="24"/>
          <w:szCs w:val="24"/>
        </w:rPr>
        <w:t>是否</w:t>
      </w:r>
      <w:r>
        <w:rPr>
          <w:rFonts w:hint="eastAsia" w:ascii="宋体" w:hAnsi="宋体" w:eastAsia="宋体" w:cs="宋体"/>
          <w:color w:val="auto"/>
          <w:w w:val="100"/>
          <w:sz w:val="24"/>
          <w:szCs w:val="24"/>
          <w:lang w:eastAsia="zh-CN"/>
        </w:rPr>
        <w:t>为专门面向</w:t>
      </w:r>
      <w:r>
        <w:rPr>
          <w:rFonts w:hint="eastAsia" w:ascii="宋体" w:hAnsi="宋体" w:eastAsia="宋体" w:cs="宋体"/>
          <w:color w:val="auto"/>
          <w:w w:val="100"/>
          <w:sz w:val="24"/>
          <w:szCs w:val="24"/>
        </w:rPr>
        <w:t>中小企业</w:t>
      </w:r>
      <w:r>
        <w:rPr>
          <w:rFonts w:hint="eastAsia" w:ascii="宋体" w:hAnsi="宋体" w:eastAsia="宋体" w:cs="宋体"/>
          <w:color w:val="auto"/>
          <w:w w:val="100"/>
          <w:sz w:val="24"/>
          <w:szCs w:val="24"/>
          <w:lang w:eastAsia="zh-CN"/>
        </w:rPr>
        <w:t>的采</w:t>
      </w:r>
      <w:r>
        <w:rPr>
          <w:rFonts w:hint="eastAsia" w:ascii="宋体" w:hAnsi="宋体" w:eastAsia="宋体" w:cs="宋体"/>
          <w:color w:val="auto"/>
          <w:w w:val="100"/>
          <w:sz w:val="24"/>
          <w:szCs w:val="24"/>
          <w:shd w:val="clear" w:color="auto" w:fill="auto"/>
          <w:lang w:eastAsia="zh-CN"/>
        </w:rPr>
        <w:t>购</w:t>
      </w:r>
      <w:r>
        <w:rPr>
          <w:rFonts w:hint="eastAsia" w:ascii="宋体" w:hAnsi="宋体" w:eastAsia="宋体" w:cs="宋体"/>
          <w:color w:val="auto"/>
          <w:w w:val="100"/>
          <w:sz w:val="24"/>
          <w:szCs w:val="24"/>
          <w:shd w:val="clear" w:color="auto" w:fill="auto"/>
        </w:rPr>
        <w:t>合同</w:t>
      </w:r>
      <w:r>
        <w:rPr>
          <w:rFonts w:hint="eastAsia" w:ascii="宋体" w:hAnsi="宋体" w:eastAsia="宋体" w:cs="宋体"/>
          <w:color w:val="auto"/>
          <w:w w:val="100"/>
          <w:sz w:val="24"/>
          <w:szCs w:val="24"/>
          <w:shd w:val="clear" w:color="auto" w:fill="auto"/>
          <w:lang w:eastAsia="zh-CN"/>
        </w:rPr>
        <w:t>（中小企业预留合同）</w:t>
      </w:r>
      <w:r>
        <w:rPr>
          <w:rFonts w:hint="eastAsia" w:ascii="宋体" w:hAnsi="宋体" w:eastAsia="宋体" w:cs="宋体"/>
          <w:color w:val="auto"/>
          <w:sz w:val="24"/>
          <w:szCs w:val="24"/>
          <w:shd w:val="clear" w:color="auto" w:fill="auto"/>
        </w:rPr>
        <w:t>：</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是</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否</w:t>
      </w:r>
    </w:p>
    <w:p w14:paraId="497A87CD">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rPr>
      </w:pPr>
      <w:r>
        <w:rPr>
          <w:rFonts w:hint="eastAsia" w:ascii="宋体" w:hAnsi="宋体" w:eastAsia="宋体" w:cs="宋体"/>
          <w:color w:val="auto"/>
          <w:sz w:val="24"/>
          <w:szCs w:val="24"/>
          <w:lang w:val="en-US" w:eastAsia="zh-CN"/>
        </w:rPr>
        <w:t>若本项目不专门面向中小企业采购，是否给予小微企业评审优惠：</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是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否</w:t>
      </w:r>
    </w:p>
    <w:p w14:paraId="79B3849F">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rPr>
      </w:pPr>
      <w:r>
        <w:rPr>
          <w:rFonts w:hint="eastAsia" w:ascii="宋体" w:hAnsi="宋体" w:eastAsia="宋体" w:cs="宋体"/>
          <w:color w:val="auto"/>
          <w:sz w:val="24"/>
          <w:szCs w:val="24"/>
          <w:lang w:val="en-US" w:eastAsia="zh-CN"/>
        </w:rPr>
        <w:t>中标（成交）采购标的制造商是否为残疾人福利性单位：</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是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否</w:t>
      </w:r>
    </w:p>
    <w:p w14:paraId="2C26554A">
      <w:pPr>
        <w:keepNext w:val="0"/>
        <w:keepLines w:val="0"/>
        <w:pageBreakBefore w:val="0"/>
        <w:numPr>
          <w:ilvl w:val="0"/>
          <w:numId w:val="0"/>
        </w:numPr>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中标（成交）采购标的制造商是否为监狱企业：</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是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否</w:t>
      </w:r>
    </w:p>
    <w:p w14:paraId="206E9298">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 w:eastAsia="zh-CN"/>
        </w:rPr>
        <w:t>7</w:t>
      </w:r>
      <w:r>
        <w:rPr>
          <w:rFonts w:hint="eastAsia" w:ascii="宋体" w:hAnsi="宋体" w:eastAsia="宋体" w:cs="宋体"/>
          <w:color w:val="auto"/>
          <w:sz w:val="24"/>
          <w:szCs w:val="24"/>
        </w:rPr>
        <w:t>）合同是否分包：</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是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否</w:t>
      </w:r>
    </w:p>
    <w:p w14:paraId="61A9CB67">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分包主要内容：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1E9D939C">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分包</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（如供应商和制造商不同，请分别填写）</w:t>
      </w:r>
      <w:r>
        <w:rPr>
          <w:rFonts w:hint="eastAsia" w:ascii="宋体" w:hAnsi="宋体" w:eastAsia="宋体" w:cs="宋体"/>
          <w:color w:val="auto"/>
          <w:sz w:val="24"/>
          <w:szCs w:val="24"/>
          <w:highlight w:val="none"/>
        </w:rPr>
        <w:t>：</w:t>
      </w:r>
    </w:p>
    <w:p w14:paraId="68198DFB">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653E7322">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rPr>
        <w:t>类型</w:t>
      </w:r>
      <w:r>
        <w:rPr>
          <w:rFonts w:hint="eastAsia" w:ascii="宋体" w:hAnsi="宋体" w:eastAsia="宋体" w:cs="宋体"/>
          <w:color w:val="auto"/>
          <w:sz w:val="24"/>
          <w:szCs w:val="24"/>
          <w:highlight w:val="none"/>
          <w:lang w:eastAsia="zh-CN"/>
        </w:rPr>
        <w:t>（如果供应商和制造商不同，只填写制造商类型）</w:t>
      </w:r>
      <w:r>
        <w:rPr>
          <w:rFonts w:hint="eastAsia" w:ascii="宋体" w:hAnsi="宋体" w:eastAsia="宋体" w:cs="宋体"/>
          <w:color w:val="auto"/>
          <w:sz w:val="24"/>
          <w:szCs w:val="24"/>
        </w:rPr>
        <w:t>：</w:t>
      </w:r>
    </w:p>
    <w:p w14:paraId="06CA3FCF">
      <w:pPr>
        <w:keepNext w:val="0"/>
        <w:keepLines w:val="0"/>
        <w:pageBreakBefore w:val="0"/>
        <w:kinsoku/>
        <w:wordWrap/>
        <w:overflowPunct/>
        <w:topLinePunct w:val="0"/>
        <w:bidi w:val="0"/>
        <w:adjustRightInd w:val="0"/>
        <w:snapToGrid w:val="0"/>
        <w:spacing w:beforeLines="0" w:line="360" w:lineRule="auto"/>
        <w:ind w:firstLine="480" w:firstLineChars="200"/>
        <w:textAlignment w:val="auto"/>
        <w:rPr>
          <w:rFonts w:hint="eastAsia" w:ascii="宋体" w:hAnsi="宋体" w:eastAsia="宋体" w:cs="宋体"/>
          <w:iCs/>
          <w:color w:val="auto"/>
          <w:sz w:val="24"/>
          <w:szCs w:val="24"/>
          <w:lang w:val="en-US"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大型企业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中型企业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小微型企业</w:t>
      </w:r>
      <w:r>
        <w:rPr>
          <w:rFonts w:hint="eastAsia" w:ascii="宋体" w:hAnsi="宋体" w:eastAsia="宋体" w:cs="宋体"/>
          <w:iCs/>
          <w:color w:val="auto"/>
          <w:sz w:val="24"/>
          <w:szCs w:val="24"/>
          <w:lang w:val="en-US" w:eastAsia="zh-CN"/>
        </w:rPr>
        <w:t xml:space="preserve">  </w:t>
      </w:r>
    </w:p>
    <w:p w14:paraId="7C250434">
      <w:pPr>
        <w:keepNext w:val="0"/>
        <w:keepLines w:val="0"/>
        <w:pageBreakBefore w:val="0"/>
        <w:kinsoku/>
        <w:wordWrap/>
        <w:overflowPunct/>
        <w:topLinePunct w:val="0"/>
        <w:bidi w:val="0"/>
        <w:adjustRightInd w:val="0"/>
        <w:snapToGrid w:val="0"/>
        <w:spacing w:beforeLines="0" w:line="360" w:lineRule="auto"/>
        <w:ind w:firstLine="480" w:firstLineChars="200"/>
        <w:textAlignment w:val="auto"/>
        <w:rPr>
          <w:rFonts w:hint="eastAsia" w:ascii="宋体" w:hAnsi="宋体" w:eastAsia="宋体" w:cs="宋体"/>
          <w:iCs/>
          <w:color w:val="auto"/>
          <w:sz w:val="24"/>
          <w:szCs w:val="24"/>
          <w:lang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残疾人福利性单位</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监狱</w:t>
      </w:r>
      <w:r>
        <w:rPr>
          <w:rFonts w:hint="eastAsia" w:ascii="宋体" w:hAnsi="宋体" w:eastAsia="宋体" w:cs="宋体"/>
          <w:iCs/>
          <w:color w:val="auto"/>
          <w:sz w:val="24"/>
          <w:szCs w:val="24"/>
        </w:rPr>
        <w:t>企业</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其他</w:t>
      </w:r>
    </w:p>
    <w:p w14:paraId="77E2634F">
      <w:pPr>
        <w:keepNext w:val="0"/>
        <w:keepLines w:val="0"/>
        <w:pageBreakBefore w:val="0"/>
        <w:kinsoku/>
        <w:wordWrap/>
        <w:overflowPunct/>
        <w:topLinePunct w:val="0"/>
        <w:bidi w:val="0"/>
        <w:adjustRightInd w:val="0"/>
        <w:snapToGrid w:val="0"/>
        <w:spacing w:beforeLines="0" w:line="360" w:lineRule="auto"/>
        <w:ind w:firstLine="480" w:firstLineChars="20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lang w:val="en" w:eastAsia="zh-CN"/>
        </w:rPr>
        <w:t>8</w:t>
      </w:r>
      <w:r>
        <w:rPr>
          <w:rFonts w:hint="eastAsia" w:ascii="宋体" w:hAnsi="宋体" w:eastAsia="宋体" w:cs="宋体"/>
          <w:color w:val="auto"/>
          <w:sz w:val="24"/>
          <w:szCs w:val="24"/>
          <w:highlight w:val="none"/>
          <w:u w:val="none"/>
          <w:lang w:val="en-US" w:eastAsia="zh-CN"/>
        </w:rPr>
        <w:t>）中标（成交）供应商是否为外商投资企业：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7CB5913C">
      <w:pPr>
        <w:pStyle w:val="57"/>
        <w:keepNext w:val="0"/>
        <w:keepLines w:val="0"/>
        <w:pageBreakBefore w:val="0"/>
        <w:tabs>
          <w:tab w:val="left" w:pos="1340"/>
        </w:tabs>
        <w:kinsoku/>
        <w:wordWrap/>
        <w:overflowPunct/>
        <w:topLinePunct w:val="0"/>
        <w:bidi w:val="0"/>
        <w:spacing w:beforeLines="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val="en-US" w:eastAsia="zh-CN"/>
        </w:rPr>
        <w:t>部分由外国投资者投资</w:t>
      </w:r>
    </w:p>
    <w:p w14:paraId="7D141409">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w:t>
      </w:r>
      <w:r>
        <w:rPr>
          <w:rFonts w:hint="eastAsia" w:ascii="宋体" w:hAnsi="宋体" w:eastAsia="宋体" w:cs="宋体"/>
          <w:b w:val="0"/>
          <w:bCs w:val="0"/>
          <w:color w:val="auto"/>
          <w:sz w:val="24"/>
          <w:szCs w:val="24"/>
          <w:u w:val="none"/>
          <w:lang w:val="en" w:eastAsia="zh-CN"/>
        </w:rPr>
        <w:t>9</w:t>
      </w:r>
      <w:r>
        <w:rPr>
          <w:rFonts w:hint="eastAsia" w:ascii="宋体" w:hAnsi="宋体" w:eastAsia="宋体" w:cs="宋体"/>
          <w:b w:val="0"/>
          <w:bCs w:val="0"/>
          <w:color w:val="auto"/>
          <w:sz w:val="24"/>
          <w:szCs w:val="24"/>
          <w:u w:val="none"/>
          <w:lang w:val="en-US" w:eastAsia="zh-CN"/>
        </w:rPr>
        <w:t>）是否涉及进口产品：</w:t>
      </w:r>
    </w:p>
    <w:p w14:paraId="50E1D477">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是</w:t>
      </w:r>
      <w:r>
        <w:rPr>
          <w:rFonts w:hint="eastAsia" w:ascii="宋体" w:hAnsi="宋体" w:eastAsia="宋体" w:cs="宋体"/>
          <w:iCs w:val="0"/>
          <w:color w:val="auto"/>
          <w:sz w:val="24"/>
          <w:szCs w:val="24"/>
          <w:lang w:eastAsia="zh-CN"/>
        </w:rPr>
        <w:t>，《政府采购品目分类目录》底级品目名称</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金额：</w:t>
      </w:r>
      <w:r>
        <w:rPr>
          <w:rFonts w:hint="eastAsia" w:ascii="宋体" w:hAnsi="宋体" w:eastAsia="宋体" w:cs="宋体"/>
          <w:color w:val="auto"/>
          <w:sz w:val="24"/>
          <w:szCs w:val="24"/>
          <w:u w:val="single"/>
          <w:lang w:val="en-US" w:eastAsia="zh-CN"/>
        </w:rPr>
        <w:t xml:space="preserve">        </w:t>
      </w:r>
    </w:p>
    <w:p w14:paraId="4BE435C2">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rPr>
      </w:pPr>
      <w:r>
        <w:rPr>
          <w:rFonts w:hint="eastAsia" w:ascii="宋体" w:hAnsi="宋体" w:eastAsia="宋体" w:cs="宋体"/>
          <w:color w:val="auto"/>
          <w:sz w:val="24"/>
          <w:szCs w:val="24"/>
          <w:lang w:val="en-US" w:eastAsia="zh-CN"/>
        </w:rPr>
        <w:t>国别：</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品牌：</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规格型号：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iCs w:val="0"/>
          <w:color w:val="auto"/>
          <w:sz w:val="24"/>
          <w:szCs w:val="24"/>
        </w:rPr>
        <w:t xml:space="preserve">      </w:t>
      </w:r>
    </w:p>
    <w:p w14:paraId="5DF734B3">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否</w:t>
      </w:r>
    </w:p>
    <w:p w14:paraId="439E1AF4">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lef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（1</w:t>
      </w:r>
      <w:r>
        <w:rPr>
          <w:rFonts w:hint="eastAsia" w:ascii="宋体" w:hAnsi="宋体" w:eastAsia="宋体" w:cs="宋体"/>
          <w:b w:val="0"/>
          <w:bCs w:val="0"/>
          <w:color w:val="auto"/>
          <w:sz w:val="24"/>
          <w:szCs w:val="24"/>
          <w:u w:val="none"/>
          <w:lang w:val="en" w:eastAsia="zh-CN"/>
        </w:rPr>
        <w:t>0</w:t>
      </w:r>
      <w:r>
        <w:rPr>
          <w:rFonts w:hint="eastAsia" w:ascii="宋体" w:hAnsi="宋体" w:eastAsia="宋体" w:cs="宋体"/>
          <w:b w:val="0"/>
          <w:bCs w:val="0"/>
          <w:color w:val="auto"/>
          <w:sz w:val="24"/>
          <w:szCs w:val="24"/>
          <w:u w:val="none"/>
          <w:lang w:val="en-US" w:eastAsia="zh-CN"/>
        </w:rPr>
        <w:t>）是否涉及节能产品：</w:t>
      </w:r>
    </w:p>
    <w:p w14:paraId="5BBADB2B">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是</w:t>
      </w:r>
      <w:r>
        <w:rPr>
          <w:rFonts w:hint="eastAsia" w:ascii="宋体" w:hAnsi="宋体" w:eastAsia="宋体" w:cs="宋体"/>
          <w:iCs w:val="0"/>
          <w:color w:val="auto"/>
          <w:sz w:val="24"/>
          <w:szCs w:val="24"/>
          <w:lang w:eastAsia="zh-CN"/>
        </w:rPr>
        <w:t>，《节能产品政府采购品目清单》的底级品目名称：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iCs/>
          <w:color w:val="auto"/>
          <w:sz w:val="24"/>
          <w:szCs w:val="24"/>
          <w:lang w:val="en-US" w:eastAsia="zh-CN"/>
        </w:rPr>
        <w:t xml:space="preserve">     </w:t>
      </w:r>
    </w:p>
    <w:p w14:paraId="55F2E973">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lang w:val="en-US"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强制采购</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优先采购</w:t>
      </w:r>
      <w:r>
        <w:rPr>
          <w:rFonts w:hint="eastAsia" w:ascii="宋体" w:hAnsi="宋体" w:eastAsia="宋体" w:cs="宋体"/>
          <w:iCs/>
          <w:color w:val="auto"/>
          <w:sz w:val="24"/>
          <w:szCs w:val="24"/>
          <w:lang w:val="en-US" w:eastAsia="zh-CN"/>
        </w:rPr>
        <w:t xml:space="preserve">    </w:t>
      </w:r>
    </w:p>
    <w:p w14:paraId="14FCB638">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否</w:t>
      </w:r>
    </w:p>
    <w:p w14:paraId="06D04B85">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left="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是否涉及环境标志产品：</w:t>
      </w:r>
    </w:p>
    <w:p w14:paraId="4CF011D3">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lang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是</w:t>
      </w:r>
      <w:r>
        <w:rPr>
          <w:rFonts w:hint="eastAsia" w:ascii="宋体" w:hAnsi="宋体" w:eastAsia="宋体" w:cs="宋体"/>
          <w:iCs w:val="0"/>
          <w:color w:val="auto"/>
          <w:sz w:val="24"/>
          <w:szCs w:val="24"/>
          <w:lang w:eastAsia="zh-CN"/>
        </w:rPr>
        <w:t>，《环境标志产品政府采购品目清单》的底级品目名称：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iCs/>
          <w:color w:val="auto"/>
          <w:sz w:val="24"/>
          <w:szCs w:val="24"/>
          <w:lang w:val="en-US" w:eastAsia="zh-CN"/>
        </w:rPr>
        <w:t xml:space="preserve"> </w:t>
      </w:r>
    </w:p>
    <w:p w14:paraId="2785DA35">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lang w:val="en-US"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强制采购</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优先采购</w:t>
      </w:r>
      <w:r>
        <w:rPr>
          <w:rFonts w:hint="eastAsia" w:ascii="宋体" w:hAnsi="宋体" w:eastAsia="宋体" w:cs="宋体"/>
          <w:iCs/>
          <w:color w:val="auto"/>
          <w:sz w:val="24"/>
          <w:szCs w:val="24"/>
          <w:lang w:val="en-US" w:eastAsia="zh-CN"/>
        </w:rPr>
        <w:t xml:space="preserve">    </w:t>
      </w:r>
    </w:p>
    <w:p w14:paraId="7CB949E8">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否</w:t>
      </w:r>
    </w:p>
    <w:p w14:paraId="29BDAABE">
      <w:pPr>
        <w:pStyle w:val="57"/>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kern w:val="2"/>
          <w:sz w:val="24"/>
          <w:szCs w:val="24"/>
          <w:u w:val="none"/>
          <w:lang w:val="en-US" w:eastAsia="zh-CN"/>
        </w:rPr>
      </w:pPr>
      <w:r>
        <w:rPr>
          <w:rFonts w:hint="eastAsia" w:ascii="宋体" w:hAnsi="宋体" w:eastAsia="宋体" w:cs="宋体"/>
          <w:b w:val="0"/>
          <w:bCs w:val="0"/>
          <w:color w:val="auto"/>
          <w:kern w:val="2"/>
          <w:sz w:val="24"/>
          <w:szCs w:val="24"/>
          <w:u w:val="none"/>
          <w:lang w:val="en-US" w:eastAsia="zh-CN"/>
        </w:rPr>
        <w:t>是否涉及绿色产品：</w:t>
      </w:r>
      <w:r>
        <w:rPr>
          <w:rFonts w:hint="eastAsia" w:ascii="宋体" w:hAnsi="宋体" w:eastAsia="宋体" w:cs="宋体"/>
          <w:iCs w:val="0"/>
          <w:color w:val="auto"/>
          <w:kern w:val="2"/>
          <w:sz w:val="24"/>
          <w:szCs w:val="24"/>
          <w:u w:val="none"/>
          <w:lang w:val="en-US" w:eastAsia="zh-CN"/>
        </w:rPr>
        <w:t xml:space="preserve"> </w:t>
      </w:r>
    </w:p>
    <w:p w14:paraId="3B6D1481">
      <w:pPr>
        <w:pStyle w:val="57"/>
        <w:keepNext w:val="0"/>
        <w:keepLines w:val="0"/>
        <w:pageBreakBefore w:val="0"/>
        <w:kinsoku/>
        <w:wordWrap/>
        <w:overflowPunct/>
        <w:topLinePunct w:val="0"/>
        <w:bidi w:val="0"/>
        <w:spacing w:beforeLines="0"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iCs w:val="0"/>
          <w:color w:val="auto"/>
          <w:kern w:val="2"/>
          <w:sz w:val="24"/>
          <w:szCs w:val="24"/>
          <w:u w:val="none"/>
        </w:rPr>
        <w:sym w:font="Wingdings" w:char="00A8"/>
      </w:r>
      <w:r>
        <w:rPr>
          <w:rFonts w:hint="eastAsia" w:ascii="宋体" w:hAnsi="宋体" w:eastAsia="宋体" w:cs="宋体"/>
          <w:iCs w:val="0"/>
          <w:color w:val="auto"/>
          <w:kern w:val="2"/>
          <w:sz w:val="24"/>
          <w:szCs w:val="24"/>
          <w:u w:val="none"/>
        </w:rPr>
        <w:t>是</w:t>
      </w:r>
      <w:r>
        <w:rPr>
          <w:rFonts w:hint="eastAsia" w:ascii="宋体" w:hAnsi="宋体" w:eastAsia="宋体" w:cs="宋体"/>
          <w:iCs w:val="0"/>
          <w:color w:val="auto"/>
          <w:kern w:val="2"/>
          <w:sz w:val="24"/>
          <w:szCs w:val="24"/>
          <w:u w:val="none"/>
          <w:lang w:eastAsia="zh-CN"/>
        </w:rPr>
        <w:t>，绿色产品政府采购相关政策确定的底级品目名称：</w:t>
      </w:r>
      <w:r>
        <w:rPr>
          <w:rFonts w:hint="eastAsia" w:ascii="宋体" w:hAnsi="宋体" w:eastAsia="宋体" w:cs="宋体"/>
          <w:color w:val="auto"/>
          <w:sz w:val="24"/>
          <w:szCs w:val="24"/>
          <w:u w:val="single"/>
          <w:lang w:val="en-US" w:eastAsia="zh-CN"/>
        </w:rPr>
        <w:t xml:space="preserve">         </w:t>
      </w:r>
    </w:p>
    <w:p w14:paraId="17241184">
      <w:pPr>
        <w:keepNext w:val="0"/>
        <w:keepLines w:val="0"/>
        <w:pageBreakBefore w:val="0"/>
        <w:numPr>
          <w:ilvl w:val="0"/>
          <w:numId w:val="0"/>
        </w:numPr>
        <w:tabs>
          <w:tab w:val="left" w:pos="740"/>
        </w:tabs>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color w:val="auto"/>
          <w:sz w:val="24"/>
          <w:szCs w:val="24"/>
          <w:lang w:val="en-US"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强制采购</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优先采购</w:t>
      </w:r>
      <w:r>
        <w:rPr>
          <w:rFonts w:hint="eastAsia" w:ascii="宋体" w:hAnsi="宋体" w:eastAsia="宋体" w:cs="宋体"/>
          <w:iCs/>
          <w:color w:val="auto"/>
          <w:sz w:val="24"/>
          <w:szCs w:val="24"/>
          <w:lang w:val="en-US" w:eastAsia="zh-CN"/>
        </w:rPr>
        <w:t xml:space="preserve">    </w:t>
      </w:r>
    </w:p>
    <w:p w14:paraId="760670EC">
      <w:pPr>
        <w:pStyle w:val="57"/>
        <w:keepNext w:val="0"/>
        <w:keepLines w:val="0"/>
        <w:pageBreakBefore w:val="0"/>
        <w:kinsoku/>
        <w:wordWrap/>
        <w:overflowPunct/>
        <w:topLinePunct w:val="0"/>
        <w:bidi w:val="0"/>
        <w:spacing w:beforeLines="0" w:line="360" w:lineRule="auto"/>
        <w:ind w:left="0" w:leftChars="0" w:firstLine="480" w:firstLineChars="200"/>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iCs w:val="0"/>
          <w:color w:val="auto"/>
          <w:kern w:val="2"/>
          <w:sz w:val="24"/>
          <w:szCs w:val="24"/>
          <w:u w:val="none"/>
        </w:rPr>
        <w:sym w:font="Wingdings" w:char="00A8"/>
      </w:r>
      <w:r>
        <w:rPr>
          <w:rFonts w:hint="eastAsia" w:ascii="宋体" w:hAnsi="宋体" w:eastAsia="宋体" w:cs="宋体"/>
          <w:iCs w:val="0"/>
          <w:color w:val="auto"/>
          <w:kern w:val="2"/>
          <w:sz w:val="24"/>
          <w:szCs w:val="24"/>
          <w:u w:val="none"/>
        </w:rPr>
        <w:t>否</w:t>
      </w:r>
    </w:p>
    <w:p w14:paraId="0ED316B6">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en" w:eastAsia="zh-CN"/>
        </w:rPr>
        <w:t>1</w:t>
      </w:r>
      <w:r>
        <w:rPr>
          <w:rFonts w:hint="eastAsia" w:ascii="宋体" w:hAnsi="宋体" w:eastAsia="宋体" w:cs="宋体"/>
          <w:color w:val="auto"/>
          <w:sz w:val="24"/>
          <w:szCs w:val="24"/>
          <w:lang w:val="en-US" w:eastAsia="zh-CN"/>
        </w:rPr>
        <w:t>）涉及商品包装和快递包装的，是否参考</w:t>
      </w:r>
      <w:r>
        <w:rPr>
          <w:rFonts w:hint="eastAsia" w:ascii="宋体" w:hAnsi="宋体" w:eastAsia="宋体" w:cs="宋体"/>
          <w:color w:val="auto"/>
          <w:sz w:val="24"/>
          <w:szCs w:val="24"/>
        </w:rPr>
        <w:t>《商品包装政府采购需求标准（试行）》、《快递包装政府采购需求标准（试行）》</w:t>
      </w:r>
      <w:r>
        <w:rPr>
          <w:rFonts w:hint="eastAsia" w:ascii="宋体" w:hAnsi="宋体" w:eastAsia="宋体" w:cs="宋体"/>
          <w:color w:val="auto"/>
          <w:sz w:val="24"/>
          <w:szCs w:val="24"/>
          <w:lang w:eastAsia="zh-CN"/>
        </w:rPr>
        <w:t>明确产品及相关快递服务的具体包装要求：</w:t>
      </w:r>
    </w:p>
    <w:p w14:paraId="447F45AB">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iCs w:val="0"/>
          <w:color w:val="auto"/>
          <w:sz w:val="24"/>
          <w:szCs w:val="24"/>
          <w:lang w:val="en-US" w:eastAsia="zh-CN"/>
        </w:rPr>
      </w:pP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 xml:space="preserve">是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rPr>
        <w:t>否</w:t>
      </w:r>
      <w:r>
        <w:rPr>
          <w:rFonts w:hint="eastAsia" w:ascii="宋体" w:hAnsi="宋体" w:eastAsia="宋体" w:cs="宋体"/>
          <w:iCs w:val="0"/>
          <w:color w:val="auto"/>
          <w:sz w:val="24"/>
          <w:szCs w:val="24"/>
          <w:lang w:val="en-US" w:eastAsia="zh-CN"/>
        </w:rPr>
        <w:t xml:space="preserve">      </w:t>
      </w:r>
      <w:r>
        <w:rPr>
          <w:rFonts w:hint="eastAsia" w:ascii="宋体" w:hAnsi="宋体" w:eastAsia="宋体" w:cs="宋体"/>
          <w:iCs w:val="0"/>
          <w:color w:val="auto"/>
          <w:sz w:val="24"/>
          <w:szCs w:val="24"/>
        </w:rPr>
        <w:sym w:font="Wingdings" w:char="00A8"/>
      </w:r>
      <w:r>
        <w:rPr>
          <w:rFonts w:hint="eastAsia" w:ascii="宋体" w:hAnsi="宋体" w:eastAsia="宋体" w:cs="宋体"/>
          <w:iCs w:val="0"/>
          <w:color w:val="auto"/>
          <w:sz w:val="24"/>
          <w:szCs w:val="24"/>
          <w:lang w:eastAsia="zh-CN"/>
        </w:rPr>
        <w:t>不涉及</w:t>
      </w:r>
    </w:p>
    <w:p w14:paraId="3AE1EF8A">
      <w:pPr>
        <w:keepNext w:val="0"/>
        <w:keepLines w:val="0"/>
        <w:pageBreakBefore w:val="0"/>
        <w:numPr>
          <w:ilvl w:val="0"/>
          <w:numId w:val="8"/>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64130ABD">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（1）合同金额小写：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32B7FDEC">
      <w:pPr>
        <w:keepNext w:val="0"/>
        <w:keepLines w:val="0"/>
        <w:pageBreakBefore w:val="0"/>
        <w:kinsoku/>
        <w:wordWrap/>
        <w:overflowPunct/>
        <w:topLinePunct w:val="0"/>
        <w:bidi w:val="0"/>
        <w:adjustRightInd w:val="0"/>
        <w:snapToGrid w:val="0"/>
        <w:spacing w:before="0" w:beforeLines="0" w:line="360" w:lineRule="auto"/>
        <w:ind w:left="0"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7A80A00B">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分包金额</w:t>
      </w:r>
      <w:r>
        <w:rPr>
          <w:rFonts w:hint="eastAsia" w:ascii="宋体" w:hAnsi="宋体" w:eastAsia="宋体" w:cs="宋体"/>
          <w:color w:val="auto"/>
          <w:sz w:val="24"/>
          <w:szCs w:val="24"/>
          <w:lang w:eastAsia="zh-CN"/>
        </w:rPr>
        <w:t>（如有）</w:t>
      </w:r>
      <w:r>
        <w:rPr>
          <w:rFonts w:hint="eastAsia" w:ascii="宋体" w:hAnsi="宋体" w:eastAsia="宋体" w:cs="宋体"/>
          <w:color w:val="auto"/>
          <w:sz w:val="24"/>
          <w:szCs w:val="24"/>
        </w:rPr>
        <w:t>小写：</w:t>
      </w:r>
      <w:r>
        <w:rPr>
          <w:rFonts w:hint="eastAsia" w:ascii="宋体" w:hAnsi="宋体" w:eastAsia="宋体" w:cs="宋体"/>
          <w:color w:val="auto"/>
          <w:sz w:val="24"/>
          <w:szCs w:val="24"/>
          <w:u w:val="single"/>
        </w:rPr>
        <w:t xml:space="preserve">                   </w:t>
      </w:r>
    </w:p>
    <w:p w14:paraId="2A293B0E">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p>
    <w:p w14:paraId="0A6B155E">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（注：固定单价合同应填写单价和最高限价）</w:t>
      </w:r>
    </w:p>
    <w:p w14:paraId="04B18A85">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合同定价方式</w:t>
      </w:r>
      <w:r>
        <w:rPr>
          <w:rFonts w:hint="eastAsia" w:ascii="宋体" w:hAnsi="宋体" w:eastAsia="宋体" w:cs="宋体"/>
          <w:color w:val="auto"/>
          <w:sz w:val="24"/>
          <w:szCs w:val="24"/>
          <w:lang w:eastAsia="zh-CN"/>
        </w:rPr>
        <w:t>（采用组合定价方式的，可以勾选多项）</w:t>
      </w:r>
      <w:r>
        <w:rPr>
          <w:rFonts w:hint="eastAsia" w:ascii="宋体" w:hAnsi="宋体" w:eastAsia="宋体" w:cs="宋体"/>
          <w:color w:val="auto"/>
          <w:sz w:val="24"/>
          <w:szCs w:val="24"/>
        </w:rPr>
        <w:t>：</w:t>
      </w:r>
    </w:p>
    <w:p w14:paraId="3DD84914">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固定总价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固定单价</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固定费率</w:t>
      </w:r>
      <w:r>
        <w:rPr>
          <w:rFonts w:hint="eastAsia" w:ascii="宋体" w:hAnsi="宋体" w:eastAsia="宋体" w:cs="宋体"/>
          <w:iCs/>
          <w:color w:val="auto"/>
          <w:sz w:val="24"/>
          <w:szCs w:val="24"/>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成本补偿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绩效激励</w:t>
      </w:r>
      <w:r>
        <w:rPr>
          <w:rFonts w:hint="eastAsia" w:ascii="宋体" w:hAnsi="宋体" w:eastAsia="宋体" w:cs="宋体"/>
          <w:iCs/>
          <w:color w:val="auto"/>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lang w:eastAsia="zh-CN"/>
        </w:rPr>
        <w:t>其他</w:t>
      </w:r>
      <w:r>
        <w:rPr>
          <w:rFonts w:hint="eastAsia" w:ascii="宋体" w:hAnsi="宋体" w:eastAsia="宋体" w:cs="宋体"/>
          <w:color w:val="auto"/>
          <w:sz w:val="24"/>
          <w:szCs w:val="24"/>
          <w:u w:val="single"/>
        </w:rPr>
        <w:t xml:space="preserve">       </w:t>
      </w:r>
    </w:p>
    <w:p w14:paraId="47D87389">
      <w:pPr>
        <w:pStyle w:val="58"/>
        <w:keepNext w:val="0"/>
        <w:keepLines w:val="0"/>
        <w:pageBreakBefore w:val="0"/>
        <w:kinsoku/>
        <w:wordWrap/>
        <w:overflowPunct/>
        <w:topLinePunct w:val="0"/>
        <w:bidi w:val="0"/>
        <w:spacing w:beforeLines="0"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）付款方式（按项目实际勾选填写）：</w:t>
      </w:r>
    </w:p>
    <w:p w14:paraId="387A321F">
      <w:pPr>
        <w:keepNext w:val="0"/>
        <w:keepLines w:val="0"/>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全额付款：</w:t>
      </w:r>
      <w:r>
        <w:rPr>
          <w:rFonts w:hint="eastAsia" w:ascii="宋体" w:hAnsi="宋体" w:eastAsia="宋体" w:cs="宋体"/>
          <w:color w:val="auto"/>
          <w:sz w:val="24"/>
          <w:szCs w:val="24"/>
          <w:u w:val="single"/>
        </w:rPr>
        <w:t xml:space="preserve">     （应</w:t>
      </w:r>
      <w:r>
        <w:rPr>
          <w:rFonts w:hint="eastAsia" w:ascii="宋体" w:hAnsi="宋体" w:eastAsia="宋体" w:cs="宋体"/>
          <w:color w:val="auto"/>
          <w:sz w:val="24"/>
          <w:szCs w:val="24"/>
          <w:u w:val="single"/>
          <w:lang w:eastAsia="zh-CN"/>
        </w:rPr>
        <w:t>明确</w:t>
      </w:r>
      <w:r>
        <w:rPr>
          <w:rFonts w:hint="eastAsia" w:ascii="宋体" w:hAnsi="宋体" w:eastAsia="宋体" w:cs="宋体"/>
          <w:color w:val="auto"/>
          <w:sz w:val="24"/>
          <w:szCs w:val="24"/>
          <w:u w:val="single"/>
        </w:rPr>
        <w:t>一次性支付合同款项</w:t>
      </w:r>
      <w:r>
        <w:rPr>
          <w:rFonts w:hint="eastAsia" w:ascii="宋体" w:hAnsi="宋体" w:eastAsia="宋体" w:cs="宋体"/>
          <w:color w:val="auto"/>
          <w:sz w:val="24"/>
          <w:szCs w:val="24"/>
          <w:u w:val="single"/>
          <w:lang w:eastAsia="zh-CN"/>
        </w:rPr>
        <w:t>的条件</w:t>
      </w:r>
      <w:r>
        <w:rPr>
          <w:rFonts w:hint="eastAsia" w:ascii="宋体" w:hAnsi="宋体" w:eastAsia="宋体" w:cs="宋体"/>
          <w:color w:val="auto"/>
          <w:sz w:val="24"/>
          <w:szCs w:val="24"/>
          <w:u w:val="single"/>
        </w:rPr>
        <w:t xml:space="preserve">）                    </w:t>
      </w:r>
    </w:p>
    <w:p w14:paraId="59860A80">
      <w:pPr>
        <w:keepNext w:val="0"/>
        <w:keepLines w:val="0"/>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分期付款：</w:t>
      </w:r>
      <w:r>
        <w:rPr>
          <w:rFonts w:hint="eastAsia" w:ascii="宋体" w:hAnsi="宋体" w:eastAsia="宋体" w:cs="宋体"/>
          <w:color w:val="auto"/>
          <w:sz w:val="24"/>
          <w:szCs w:val="24"/>
          <w:u w:val="single"/>
        </w:rPr>
        <w:t xml:space="preserve">  （应明确分期支付合同款项的各期比例和支付条件</w:t>
      </w:r>
      <w:r>
        <w:rPr>
          <w:rFonts w:hint="eastAsia" w:ascii="宋体" w:hAnsi="宋体" w:eastAsia="宋体" w:cs="宋体"/>
          <w:color w:val="auto"/>
          <w:sz w:val="24"/>
          <w:szCs w:val="24"/>
          <w:u w:val="single"/>
          <w:lang w:eastAsia="zh-CN"/>
        </w:rPr>
        <w:t>，各期支付条件应与分期履约验收情况挂钩</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lang w:eastAsia="zh-CN"/>
        </w:rPr>
        <w:t>其中涉及预付款的</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（应明确预付款的支付比例和支付条件） </w:t>
      </w:r>
    </w:p>
    <w:tbl>
      <w:tblPr>
        <w:tblStyle w:val="2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06"/>
        <w:gridCol w:w="1337"/>
        <w:gridCol w:w="1846"/>
        <w:gridCol w:w="4022"/>
      </w:tblGrid>
      <w:tr w14:paraId="2CBF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126EF0F">
            <w:pPr>
              <w:keepNext w:val="0"/>
              <w:keepLines w:val="0"/>
              <w:widowControl/>
              <w:suppressLineNumbers w:val="0"/>
              <w:jc w:val="center"/>
              <w:textAlignment w:val="center"/>
              <w:rPr>
                <w:rStyle w:val="59"/>
                <w:rFonts w:hint="eastAsia" w:ascii="宋体" w:hAnsi="宋体" w:eastAsia="宋体" w:cs="宋体"/>
                <w:b w:val="0"/>
                <w:bCs w:val="0"/>
                <w:color w:val="auto"/>
                <w:sz w:val="24"/>
                <w:szCs w:val="24"/>
                <w:highlight w:val="none"/>
                <w:lang w:val="en-US" w:eastAsia="zh-CN" w:bidi="ar"/>
              </w:rPr>
            </w:pPr>
            <w:r>
              <w:rPr>
                <w:rStyle w:val="59"/>
                <w:rFonts w:hint="eastAsia" w:ascii="宋体" w:hAnsi="宋体" w:eastAsia="宋体" w:cs="宋体"/>
                <w:b w:val="0"/>
                <w:bCs w:val="0"/>
                <w:color w:val="auto"/>
                <w:sz w:val="24"/>
                <w:szCs w:val="24"/>
                <w:highlight w:val="none"/>
                <w:lang w:val="en-US" w:eastAsia="zh-CN" w:bidi="ar"/>
              </w:rPr>
              <w:t>分期阶段</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ABF8EFA">
            <w:pPr>
              <w:keepNext w:val="0"/>
              <w:keepLines w:val="0"/>
              <w:widowControl/>
              <w:suppressLineNumbers w:val="0"/>
              <w:jc w:val="center"/>
              <w:textAlignment w:val="center"/>
              <w:rPr>
                <w:rStyle w:val="60"/>
                <w:rFonts w:hint="eastAsia" w:ascii="宋体" w:hAnsi="宋体" w:eastAsia="宋体" w:cs="宋体"/>
                <w:b w:val="0"/>
                <w:bCs w:val="0"/>
                <w:color w:val="auto"/>
                <w:sz w:val="24"/>
                <w:szCs w:val="24"/>
                <w:highlight w:val="none"/>
                <w:lang w:val="en-US" w:eastAsia="zh-CN" w:bidi="ar"/>
              </w:rPr>
            </w:pPr>
            <w:r>
              <w:rPr>
                <w:rStyle w:val="59"/>
                <w:rFonts w:hint="eastAsia" w:ascii="宋体" w:hAnsi="宋体" w:eastAsia="宋体" w:cs="宋体"/>
                <w:b w:val="0"/>
                <w:bCs w:val="0"/>
                <w:color w:val="auto"/>
                <w:sz w:val="24"/>
                <w:szCs w:val="24"/>
                <w:highlight w:val="none"/>
                <w:lang w:val="en-US" w:eastAsia="zh-CN" w:bidi="ar"/>
              </w:rPr>
              <w:t>支付比例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4BEF4D7">
            <w:pPr>
              <w:keepNext w:val="0"/>
              <w:keepLines w:val="0"/>
              <w:widowControl/>
              <w:suppressLineNumbers w:val="0"/>
              <w:jc w:val="center"/>
              <w:textAlignment w:val="center"/>
              <w:rPr>
                <w:rStyle w:val="60"/>
                <w:rFonts w:hint="eastAsia" w:ascii="宋体" w:hAnsi="宋体" w:eastAsia="宋体" w:cs="宋体"/>
                <w:b w:val="0"/>
                <w:bCs w:val="0"/>
                <w:color w:val="auto"/>
                <w:sz w:val="24"/>
                <w:szCs w:val="24"/>
                <w:highlight w:val="none"/>
                <w:lang w:val="en-US" w:eastAsia="zh-CN" w:bidi="ar"/>
              </w:rPr>
            </w:pPr>
            <w:r>
              <w:rPr>
                <w:rStyle w:val="59"/>
                <w:rFonts w:hint="eastAsia" w:ascii="宋体" w:hAnsi="宋体" w:eastAsia="宋体" w:cs="宋体"/>
                <w:b w:val="0"/>
                <w:bCs w:val="0"/>
                <w:color w:val="auto"/>
                <w:sz w:val="24"/>
                <w:szCs w:val="24"/>
                <w:highlight w:val="none"/>
                <w:lang w:val="en-US" w:eastAsia="zh-CN" w:bidi="ar"/>
              </w:rPr>
              <w:t>支付金额(元)</w:t>
            </w:r>
          </w:p>
        </w:tc>
        <w:tc>
          <w:tcPr>
            <w:tcW w:w="4301" w:type="dxa"/>
            <w:tcBorders>
              <w:top w:val="single" w:color="000000" w:sz="4" w:space="0"/>
              <w:left w:val="single" w:color="000000" w:sz="4" w:space="0"/>
              <w:bottom w:val="single" w:color="000000" w:sz="4" w:space="0"/>
              <w:right w:val="single" w:color="000000" w:sz="4" w:space="0"/>
            </w:tcBorders>
            <w:noWrap w:val="0"/>
            <w:vAlign w:val="center"/>
          </w:tcPr>
          <w:p w14:paraId="14F14640">
            <w:pPr>
              <w:keepNext w:val="0"/>
              <w:keepLines w:val="0"/>
              <w:widowControl/>
              <w:suppressLineNumbers w:val="0"/>
              <w:jc w:val="center"/>
              <w:textAlignment w:val="center"/>
              <w:rPr>
                <w:rStyle w:val="60"/>
                <w:rFonts w:hint="eastAsia" w:ascii="宋体" w:hAnsi="宋体" w:eastAsia="宋体" w:cs="宋体"/>
                <w:b w:val="0"/>
                <w:bCs w:val="0"/>
                <w:color w:val="auto"/>
                <w:sz w:val="24"/>
                <w:szCs w:val="24"/>
                <w:highlight w:val="none"/>
                <w:lang w:val="en-US" w:eastAsia="zh-CN" w:bidi="ar"/>
              </w:rPr>
            </w:pPr>
            <w:r>
              <w:rPr>
                <w:rStyle w:val="59"/>
                <w:rFonts w:hint="eastAsia" w:ascii="宋体" w:hAnsi="宋体" w:eastAsia="宋体" w:cs="宋体"/>
                <w:b w:val="0"/>
                <w:bCs w:val="0"/>
                <w:color w:val="auto"/>
                <w:sz w:val="24"/>
                <w:szCs w:val="24"/>
                <w:highlight w:val="none"/>
                <w:lang w:val="en-US" w:eastAsia="zh-CN" w:bidi="ar"/>
              </w:rPr>
              <w:t>支付条件</w:t>
            </w:r>
          </w:p>
        </w:tc>
      </w:tr>
      <w:tr w14:paraId="615C9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77" w:type="dxa"/>
            <w:tcBorders>
              <w:top w:val="single" w:color="000000" w:sz="4" w:space="0"/>
              <w:left w:val="single" w:color="000000" w:sz="4" w:space="0"/>
              <w:bottom w:val="single" w:color="000000" w:sz="4" w:space="0"/>
              <w:right w:val="single" w:color="000000" w:sz="4" w:space="0"/>
            </w:tcBorders>
            <w:noWrap w:val="0"/>
            <w:vAlign w:val="center"/>
          </w:tcPr>
          <w:p w14:paraId="2774EA54">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59"/>
                <w:rFonts w:hint="eastAsia" w:ascii="宋体" w:hAnsi="宋体" w:eastAsia="宋体" w:cs="宋体"/>
                <w:b w:val="0"/>
                <w:bCs w:val="0"/>
                <w:color w:val="auto"/>
                <w:sz w:val="24"/>
                <w:szCs w:val="24"/>
                <w:highlight w:val="none"/>
                <w:lang w:val="en-US" w:eastAsia="zh-CN" w:bidi="ar"/>
              </w:rPr>
              <w:t>第一期</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0758E6BE">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E04F55E">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元</w:t>
            </w:r>
          </w:p>
        </w:tc>
        <w:tc>
          <w:tcPr>
            <w:tcW w:w="4301" w:type="dxa"/>
            <w:tcBorders>
              <w:top w:val="single" w:color="000000" w:sz="4" w:space="0"/>
              <w:left w:val="single" w:color="000000" w:sz="4" w:space="0"/>
              <w:bottom w:val="single" w:color="000000" w:sz="4" w:space="0"/>
              <w:right w:val="single" w:color="000000" w:sz="4" w:space="0"/>
            </w:tcBorders>
            <w:noWrap w:val="0"/>
            <w:vAlign w:val="center"/>
          </w:tcPr>
          <w:p w14:paraId="607F1C31">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合同签订后</w:t>
            </w:r>
            <w:r>
              <w:rPr>
                <w:rStyle w:val="60"/>
                <w:rFonts w:hint="eastAsia" w:ascii="宋体" w:hAnsi="宋体" w:eastAsia="宋体" w:cs="宋体"/>
                <w:b w:val="0"/>
                <w:bCs w:val="0"/>
                <w:color w:val="auto"/>
                <w:sz w:val="24"/>
                <w:szCs w:val="24"/>
                <w:highlight w:val="none"/>
                <w:u w:val="single"/>
                <w:lang w:val="en-US" w:eastAsia="zh-CN" w:bidi="ar"/>
              </w:rPr>
              <w:t xml:space="preserve">   </w:t>
            </w:r>
            <w:r>
              <w:rPr>
                <w:rStyle w:val="60"/>
                <w:rFonts w:hint="eastAsia" w:ascii="宋体" w:hAnsi="宋体" w:eastAsia="宋体" w:cs="宋体"/>
                <w:b w:val="0"/>
                <w:bCs w:val="0"/>
                <w:color w:val="auto"/>
                <w:sz w:val="24"/>
                <w:szCs w:val="24"/>
                <w:highlight w:val="none"/>
                <w:lang w:val="en-US" w:eastAsia="zh-CN" w:bidi="ar"/>
              </w:rPr>
              <w:t>个工作日内</w:t>
            </w:r>
            <w:r>
              <w:rPr>
                <w:rStyle w:val="59"/>
                <w:rFonts w:hint="eastAsia" w:ascii="宋体" w:hAnsi="宋体" w:eastAsia="宋体" w:cs="宋体"/>
                <w:b w:val="0"/>
                <w:bCs w:val="0"/>
                <w:color w:val="auto"/>
                <w:sz w:val="24"/>
                <w:szCs w:val="24"/>
                <w:highlight w:val="none"/>
                <w:lang w:val="en-US" w:eastAsia="zh-CN" w:bidi="ar"/>
              </w:rPr>
              <w:t>支</w:t>
            </w:r>
            <w:r>
              <w:rPr>
                <w:rStyle w:val="60"/>
                <w:rFonts w:hint="eastAsia" w:ascii="宋体" w:hAnsi="宋体" w:eastAsia="宋体" w:cs="宋体"/>
                <w:b w:val="0"/>
                <w:bCs w:val="0"/>
                <w:color w:val="auto"/>
                <w:sz w:val="24"/>
                <w:szCs w:val="24"/>
                <w:highlight w:val="none"/>
                <w:lang w:val="en-US" w:eastAsia="zh-CN" w:bidi="ar"/>
              </w:rPr>
              <w:t>付。</w:t>
            </w:r>
          </w:p>
        </w:tc>
      </w:tr>
      <w:tr w14:paraId="2E6D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77" w:type="dxa"/>
            <w:tcBorders>
              <w:top w:val="single" w:color="000000" w:sz="4" w:space="0"/>
              <w:left w:val="single" w:color="000000" w:sz="4" w:space="0"/>
              <w:bottom w:val="single" w:color="000000" w:sz="4" w:space="0"/>
              <w:right w:val="single" w:color="000000" w:sz="4" w:space="0"/>
            </w:tcBorders>
            <w:noWrap w:val="0"/>
            <w:vAlign w:val="center"/>
          </w:tcPr>
          <w:p w14:paraId="31503ADE">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59"/>
                <w:rFonts w:hint="eastAsia" w:ascii="宋体" w:hAnsi="宋体" w:eastAsia="宋体" w:cs="宋体"/>
                <w:b w:val="0"/>
                <w:bCs w:val="0"/>
                <w:color w:val="auto"/>
                <w:sz w:val="24"/>
                <w:szCs w:val="24"/>
                <w:highlight w:val="none"/>
                <w:lang w:val="en-US" w:eastAsia="zh-CN" w:bidi="ar"/>
              </w:rPr>
              <w:t>第二期</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39F5FB4F">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99D2241">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元</w:t>
            </w:r>
          </w:p>
        </w:tc>
        <w:tc>
          <w:tcPr>
            <w:tcW w:w="4301" w:type="dxa"/>
            <w:tcBorders>
              <w:top w:val="single" w:color="000000" w:sz="4" w:space="0"/>
              <w:left w:val="single" w:color="000000" w:sz="4" w:space="0"/>
              <w:bottom w:val="single" w:color="000000" w:sz="4" w:space="0"/>
              <w:right w:val="single" w:color="000000" w:sz="4" w:space="0"/>
            </w:tcBorders>
            <w:noWrap w:val="0"/>
            <w:vAlign w:val="center"/>
          </w:tcPr>
          <w:p w14:paraId="3BD2C5CD">
            <w:pPr>
              <w:keepNext w:val="0"/>
              <w:keepLines w:val="0"/>
              <w:widowControl/>
              <w:suppressLineNumbers w:val="0"/>
              <w:jc w:val="center"/>
              <w:textAlignment w:val="top"/>
              <w:rPr>
                <w:rFonts w:hint="eastAsia" w:ascii="宋体" w:hAnsi="宋体" w:eastAsia="宋体" w:cs="宋体"/>
                <w:b w:val="0"/>
                <w:bCs w:val="0"/>
                <w:i w:val="0"/>
                <w:iCs w:val="0"/>
                <w:color w:val="auto"/>
                <w:sz w:val="24"/>
                <w:szCs w:val="24"/>
                <w:highlight w:val="none"/>
                <w:u w:val="none"/>
              </w:rPr>
            </w:pPr>
            <w:r>
              <w:rPr>
                <w:rStyle w:val="60"/>
                <w:rFonts w:hint="eastAsia" w:ascii="宋体" w:hAnsi="宋体" w:eastAsia="宋体" w:cs="宋体"/>
                <w:b w:val="0"/>
                <w:bCs w:val="0"/>
                <w:color w:val="auto"/>
                <w:sz w:val="24"/>
                <w:szCs w:val="24"/>
                <w:highlight w:val="none"/>
                <w:lang w:val="en-US" w:eastAsia="zh-CN" w:bidi="ar"/>
              </w:rPr>
              <w:t>全部交货安装，并验收完成后</w:t>
            </w:r>
            <w:r>
              <w:rPr>
                <w:rStyle w:val="59"/>
                <w:rFonts w:hint="eastAsia" w:ascii="宋体" w:hAnsi="宋体" w:eastAsia="宋体" w:cs="宋体"/>
                <w:b w:val="0"/>
                <w:bCs w:val="0"/>
                <w:color w:val="auto"/>
                <w:sz w:val="24"/>
                <w:szCs w:val="24"/>
                <w:highlight w:val="none"/>
                <w:u w:val="single"/>
                <w:lang w:val="en-US" w:eastAsia="zh-CN" w:bidi="ar"/>
              </w:rPr>
              <w:t xml:space="preserve">   </w:t>
            </w:r>
            <w:r>
              <w:rPr>
                <w:rStyle w:val="59"/>
                <w:rFonts w:hint="eastAsia" w:ascii="宋体" w:hAnsi="宋体" w:eastAsia="宋体" w:cs="宋体"/>
                <w:b w:val="0"/>
                <w:bCs w:val="0"/>
                <w:color w:val="auto"/>
                <w:sz w:val="24"/>
                <w:szCs w:val="24"/>
                <w:highlight w:val="none"/>
                <w:lang w:val="en-US" w:eastAsia="zh-CN" w:bidi="ar"/>
              </w:rPr>
              <w:t>工作日内支</w:t>
            </w:r>
            <w:r>
              <w:rPr>
                <w:rStyle w:val="60"/>
                <w:rFonts w:hint="eastAsia" w:ascii="宋体" w:hAnsi="宋体" w:eastAsia="宋体" w:cs="宋体"/>
                <w:b w:val="0"/>
                <w:bCs w:val="0"/>
                <w:color w:val="auto"/>
                <w:sz w:val="24"/>
                <w:szCs w:val="24"/>
                <w:highlight w:val="none"/>
                <w:lang w:val="en-US" w:eastAsia="zh-CN" w:bidi="ar"/>
              </w:rPr>
              <w:t>付。</w:t>
            </w:r>
          </w:p>
        </w:tc>
      </w:tr>
      <w:tr w14:paraId="77A7D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77" w:type="dxa"/>
            <w:tcBorders>
              <w:top w:val="single" w:color="000000" w:sz="4" w:space="0"/>
              <w:left w:val="single" w:color="000000" w:sz="4" w:space="0"/>
              <w:bottom w:val="single" w:color="000000" w:sz="4" w:space="0"/>
              <w:right w:val="single" w:color="000000" w:sz="4" w:space="0"/>
            </w:tcBorders>
            <w:noWrap w:val="0"/>
            <w:vAlign w:val="center"/>
          </w:tcPr>
          <w:p w14:paraId="4D355197">
            <w:pPr>
              <w:keepNext w:val="0"/>
              <w:keepLines w:val="0"/>
              <w:widowControl/>
              <w:suppressLineNumbers w:val="0"/>
              <w:jc w:val="center"/>
              <w:textAlignment w:val="top"/>
              <w:rPr>
                <w:rStyle w:val="59"/>
                <w:rFonts w:hint="eastAsia" w:ascii="宋体" w:hAnsi="宋体" w:eastAsia="宋体" w:cs="宋体"/>
                <w:b w:val="0"/>
                <w:bCs w:val="0"/>
                <w:color w:val="auto"/>
                <w:sz w:val="24"/>
                <w:szCs w:val="24"/>
                <w:highlight w:val="none"/>
                <w:lang w:val="en-US" w:eastAsia="zh-CN" w:bidi="ar"/>
              </w:rPr>
            </w:pPr>
            <w:r>
              <w:rPr>
                <w:rStyle w:val="59"/>
                <w:rFonts w:hint="eastAsia" w:ascii="宋体" w:hAnsi="宋体" w:eastAsia="宋体" w:cs="宋体"/>
                <w:b w:val="0"/>
                <w:bCs w:val="0"/>
                <w:color w:val="auto"/>
                <w:sz w:val="24"/>
                <w:szCs w:val="24"/>
                <w:highlight w:val="none"/>
                <w:lang w:val="en-US" w:eastAsia="zh-CN" w:bidi="ar"/>
              </w:rPr>
              <w:t>第三期</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73E7A450">
            <w:pPr>
              <w:keepNext w:val="0"/>
              <w:keepLines w:val="0"/>
              <w:widowControl/>
              <w:suppressLineNumbers w:val="0"/>
              <w:jc w:val="center"/>
              <w:textAlignment w:val="top"/>
              <w:rPr>
                <w:rStyle w:val="60"/>
                <w:rFonts w:hint="eastAsia" w:ascii="宋体" w:hAnsi="宋体" w:eastAsia="宋体" w:cs="宋体"/>
                <w:b w:val="0"/>
                <w:bCs w:val="0"/>
                <w:color w:val="auto"/>
                <w:sz w:val="24"/>
                <w:szCs w:val="24"/>
                <w:highlight w:val="none"/>
                <w:lang w:val="en-US" w:eastAsia="zh-CN" w:bidi="ar"/>
              </w:rPr>
            </w:pPr>
            <w:r>
              <w:rPr>
                <w:rStyle w:val="60"/>
                <w:rFonts w:hint="eastAsia" w:ascii="宋体" w:hAnsi="宋体" w:eastAsia="宋体" w:cs="宋体"/>
                <w:b w:val="0"/>
                <w:bCs w:val="0"/>
                <w:color w:val="auto"/>
                <w:sz w:val="24"/>
                <w:szCs w:val="24"/>
                <w:highlight w:val="none"/>
                <w:lang w:val="en-US" w:eastAsia="zh-CN" w:bidi="ar"/>
              </w:rPr>
              <w:t>%</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93FA2DE">
            <w:pPr>
              <w:keepNext w:val="0"/>
              <w:keepLines w:val="0"/>
              <w:widowControl/>
              <w:suppressLineNumbers w:val="0"/>
              <w:jc w:val="center"/>
              <w:textAlignment w:val="top"/>
              <w:rPr>
                <w:rStyle w:val="60"/>
                <w:rFonts w:hint="eastAsia" w:ascii="宋体" w:hAnsi="宋体" w:eastAsia="宋体" w:cs="宋体"/>
                <w:b w:val="0"/>
                <w:bCs w:val="0"/>
                <w:color w:val="auto"/>
                <w:sz w:val="24"/>
                <w:szCs w:val="24"/>
                <w:highlight w:val="none"/>
                <w:lang w:val="en-US" w:eastAsia="zh-CN" w:bidi="ar"/>
              </w:rPr>
            </w:pPr>
            <w:r>
              <w:rPr>
                <w:rStyle w:val="60"/>
                <w:rFonts w:hint="eastAsia" w:ascii="宋体" w:hAnsi="宋体" w:eastAsia="宋体" w:cs="宋体"/>
                <w:b w:val="0"/>
                <w:bCs w:val="0"/>
                <w:color w:val="auto"/>
                <w:sz w:val="24"/>
                <w:szCs w:val="24"/>
                <w:highlight w:val="none"/>
                <w:lang w:val="en-US" w:eastAsia="zh-CN" w:bidi="ar"/>
              </w:rPr>
              <w:t>元</w:t>
            </w:r>
          </w:p>
        </w:tc>
        <w:tc>
          <w:tcPr>
            <w:tcW w:w="4301" w:type="dxa"/>
            <w:tcBorders>
              <w:top w:val="single" w:color="000000" w:sz="4" w:space="0"/>
              <w:left w:val="single" w:color="000000" w:sz="4" w:space="0"/>
              <w:bottom w:val="single" w:color="000000" w:sz="4" w:space="0"/>
              <w:right w:val="single" w:color="000000" w:sz="4" w:space="0"/>
            </w:tcBorders>
            <w:noWrap w:val="0"/>
            <w:vAlign w:val="center"/>
          </w:tcPr>
          <w:p w14:paraId="3ACFC024">
            <w:pPr>
              <w:keepNext w:val="0"/>
              <w:keepLines w:val="0"/>
              <w:widowControl/>
              <w:suppressLineNumbers w:val="0"/>
              <w:jc w:val="center"/>
              <w:textAlignment w:val="top"/>
              <w:rPr>
                <w:rStyle w:val="60"/>
                <w:rFonts w:hint="eastAsia" w:ascii="宋体" w:hAnsi="宋体" w:eastAsia="宋体" w:cs="宋体"/>
                <w:b w:val="0"/>
                <w:bCs w:val="0"/>
                <w:color w:val="auto"/>
                <w:sz w:val="24"/>
                <w:szCs w:val="24"/>
                <w:highlight w:val="none"/>
                <w:lang w:val="en-US" w:eastAsia="zh-CN" w:bidi="ar"/>
              </w:rPr>
            </w:pPr>
            <w:r>
              <w:rPr>
                <w:rStyle w:val="60"/>
                <w:rFonts w:hint="eastAsia" w:ascii="宋体" w:hAnsi="宋体" w:eastAsia="宋体" w:cs="宋体"/>
                <w:b w:val="0"/>
                <w:bCs w:val="0"/>
                <w:color w:val="auto"/>
                <w:sz w:val="24"/>
                <w:szCs w:val="24"/>
                <w:highlight w:val="none"/>
                <w:lang w:val="en-US" w:eastAsia="zh-CN" w:bidi="ar"/>
              </w:rPr>
              <w:t>质保期满后</w:t>
            </w:r>
            <w:r>
              <w:rPr>
                <w:rStyle w:val="60"/>
                <w:rFonts w:hint="eastAsia" w:ascii="宋体" w:hAnsi="宋体" w:eastAsia="宋体" w:cs="宋体"/>
                <w:b w:val="0"/>
                <w:bCs w:val="0"/>
                <w:color w:val="auto"/>
                <w:sz w:val="24"/>
                <w:szCs w:val="24"/>
                <w:highlight w:val="none"/>
                <w:u w:val="single"/>
                <w:lang w:val="en-US" w:eastAsia="zh-CN" w:bidi="ar"/>
              </w:rPr>
              <w:t xml:space="preserve">   </w:t>
            </w:r>
            <w:r>
              <w:rPr>
                <w:rStyle w:val="60"/>
                <w:rFonts w:hint="eastAsia" w:ascii="宋体" w:hAnsi="宋体" w:eastAsia="宋体" w:cs="宋体"/>
                <w:b w:val="0"/>
                <w:bCs w:val="0"/>
                <w:color w:val="auto"/>
                <w:sz w:val="24"/>
                <w:szCs w:val="24"/>
                <w:highlight w:val="none"/>
                <w:lang w:val="en-US" w:eastAsia="zh-CN" w:bidi="ar"/>
              </w:rPr>
              <w:t>个工作日内</w:t>
            </w:r>
            <w:r>
              <w:rPr>
                <w:rStyle w:val="59"/>
                <w:rFonts w:hint="eastAsia" w:ascii="宋体" w:hAnsi="宋体" w:eastAsia="宋体" w:cs="宋体"/>
                <w:b w:val="0"/>
                <w:bCs w:val="0"/>
                <w:color w:val="auto"/>
                <w:sz w:val="24"/>
                <w:szCs w:val="24"/>
                <w:highlight w:val="none"/>
                <w:lang w:val="en-US" w:eastAsia="zh-CN" w:bidi="ar"/>
              </w:rPr>
              <w:t>支</w:t>
            </w:r>
            <w:r>
              <w:rPr>
                <w:rStyle w:val="60"/>
                <w:rFonts w:hint="eastAsia" w:ascii="宋体" w:hAnsi="宋体" w:eastAsia="宋体" w:cs="宋体"/>
                <w:b w:val="0"/>
                <w:bCs w:val="0"/>
                <w:color w:val="auto"/>
                <w:sz w:val="24"/>
                <w:szCs w:val="24"/>
                <w:highlight w:val="none"/>
                <w:lang w:val="en-US" w:eastAsia="zh-CN" w:bidi="ar"/>
              </w:rPr>
              <w:t>付</w:t>
            </w:r>
          </w:p>
        </w:tc>
      </w:tr>
    </w:tbl>
    <w:p w14:paraId="623A785C">
      <w:pPr>
        <w:adjustRightInd w:val="0"/>
        <w:snapToGrid w:val="0"/>
        <w:spacing w:before="0" w:beforeLines="0" w:line="360" w:lineRule="auto"/>
        <w:ind w:firstLine="720" w:firstLineChars="300"/>
        <w:rPr>
          <w:rFonts w:hint="eastAsia" w:ascii="宋体" w:hAnsi="宋体" w:eastAsia="宋体" w:cs="宋体"/>
          <w:color w:val="auto"/>
          <w:sz w:val="24"/>
          <w:szCs w:val="24"/>
        </w:rPr>
      </w:pPr>
    </w:p>
    <w:p w14:paraId="6A347C50">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成本补偿：</w:t>
      </w:r>
      <w:r>
        <w:rPr>
          <w:rFonts w:hint="eastAsia" w:ascii="宋体" w:hAnsi="宋体" w:eastAsia="宋体" w:cs="宋体"/>
          <w:color w:val="auto"/>
          <w:sz w:val="24"/>
          <w:szCs w:val="24"/>
          <w:u w:val="single"/>
        </w:rPr>
        <w:t xml:space="preserve">      （应明确按照成本补偿方式的支付方式和支付条件）   </w:t>
      </w:r>
    </w:p>
    <w:p w14:paraId="03C981D3">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rPr>
        <w:t>绩效激励：</w:t>
      </w:r>
      <w:r>
        <w:rPr>
          <w:rFonts w:hint="eastAsia" w:ascii="宋体" w:hAnsi="宋体" w:eastAsia="宋体" w:cs="宋体"/>
          <w:color w:val="auto"/>
          <w:sz w:val="24"/>
          <w:szCs w:val="24"/>
          <w:u w:val="single"/>
        </w:rPr>
        <w:t xml:space="preserve">      （应明确按照绩效激励方式的支付方式和支付条件）   </w:t>
      </w:r>
    </w:p>
    <w:p w14:paraId="29E8D194">
      <w:pPr>
        <w:keepNext w:val="0"/>
        <w:keepLines w:val="0"/>
        <w:pageBreakBefore w:val="0"/>
        <w:numPr>
          <w:ilvl w:val="0"/>
          <w:numId w:val="8"/>
        </w:numPr>
        <w:kinsoku/>
        <w:wordWrap/>
        <w:overflowPunct/>
        <w:topLinePunct w:val="0"/>
        <w:bidi w:val="0"/>
        <w:adjustRightInd w:val="0"/>
        <w:snapToGrid w:val="0"/>
        <w:spacing w:before="0" w:beforeLines="0" w:line="360" w:lineRule="auto"/>
        <w:ind w:firstLine="482" w:firstLineChars="200"/>
        <w:jc w:val="left"/>
        <w:textAlignment w:val="auto"/>
        <w:rPr>
          <w:rFonts w:hint="eastAsia" w:ascii="宋体" w:hAnsi="宋体" w:eastAsia="宋体" w:cs="宋体"/>
          <w:b/>
          <w:bCs w:val="0"/>
          <w:color w:val="auto"/>
          <w:sz w:val="24"/>
          <w:szCs w:val="24"/>
          <w:u w:val="single"/>
        </w:rPr>
      </w:pPr>
      <w:r>
        <w:rPr>
          <w:rFonts w:hint="eastAsia" w:ascii="宋体" w:hAnsi="宋体" w:eastAsia="宋体" w:cs="宋体"/>
          <w:b/>
          <w:bCs w:val="0"/>
          <w:color w:val="auto"/>
          <w:sz w:val="24"/>
          <w:szCs w:val="24"/>
        </w:rPr>
        <w:t>合同履行</w:t>
      </w:r>
    </w:p>
    <w:p w14:paraId="1B6DC55E">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（1）起始日期：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日，完成日期：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C5C9BD0">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履约</w:t>
      </w:r>
      <w:r>
        <w:rPr>
          <w:rFonts w:hint="eastAsia" w:ascii="宋体" w:hAnsi="宋体" w:eastAsia="宋体" w:cs="宋体"/>
          <w:color w:val="auto"/>
          <w:sz w:val="24"/>
          <w:szCs w:val="24"/>
        </w:rPr>
        <w:t>地点</w:t>
      </w:r>
      <w:r>
        <w:rPr>
          <w:rFonts w:hint="eastAsia" w:ascii="宋体" w:hAnsi="宋体" w:eastAsia="宋体" w:cs="宋体"/>
          <w:b w:val="0"/>
          <w:bCs/>
          <w:color w:val="auto"/>
          <w:sz w:val="24"/>
          <w:szCs w:val="24"/>
        </w:rPr>
        <w:t>：</w:t>
      </w:r>
      <w:r>
        <w:rPr>
          <w:rFonts w:hint="eastAsia" w:ascii="宋体" w:hAnsi="宋体" w:eastAsia="宋体" w:cs="宋体"/>
          <w:color w:val="auto"/>
          <w:sz w:val="24"/>
          <w:szCs w:val="24"/>
          <w:u w:val="single"/>
        </w:rPr>
        <w:t xml:space="preserve">                             </w:t>
      </w:r>
    </w:p>
    <w:p w14:paraId="1EBD31D8">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bCs/>
          <w:color w:val="auto"/>
          <w:sz w:val="24"/>
          <w:szCs w:val="24"/>
        </w:rPr>
        <w:t>（3）履约担保：</w:t>
      </w:r>
      <w:r>
        <w:rPr>
          <w:rFonts w:hint="eastAsia" w:ascii="宋体" w:hAnsi="宋体" w:eastAsia="宋体" w:cs="宋体"/>
          <w:color w:val="auto"/>
          <w:sz w:val="24"/>
          <w:szCs w:val="24"/>
          <w:lang w:val="en-US" w:eastAsia="zh-CN"/>
        </w:rPr>
        <w:t>是否收取履约保证金：</w:t>
      </w: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sym w:font="Wingdings" w:char="00A8"/>
      </w:r>
      <w:r>
        <w:rPr>
          <w:rFonts w:hint="eastAsia" w:ascii="宋体" w:hAnsi="宋体" w:eastAsia="宋体" w:cs="宋体"/>
          <w:color w:val="auto"/>
          <w:sz w:val="24"/>
          <w:szCs w:val="24"/>
          <w:lang w:eastAsia="zh-CN"/>
        </w:rPr>
        <w:t>否</w:t>
      </w:r>
    </w:p>
    <w:p w14:paraId="0422E528">
      <w:pPr>
        <w:pStyle w:val="57"/>
        <w:keepNext w:val="0"/>
        <w:keepLines w:val="0"/>
        <w:pageBreakBefore w:val="0"/>
        <w:kinsoku/>
        <w:wordWrap/>
        <w:overflowPunct/>
        <w:topLinePunct w:val="0"/>
        <w:bidi w:val="0"/>
        <w:spacing w:beforeLines="0" w:line="360" w:lineRule="auto"/>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收取履约保证金形式：</w:t>
      </w:r>
      <w:r>
        <w:rPr>
          <w:rFonts w:hint="eastAsia" w:ascii="宋体" w:hAnsi="宋体" w:eastAsia="宋体" w:cs="宋体"/>
          <w:bCs/>
          <w:color w:val="auto"/>
          <w:sz w:val="24"/>
          <w:szCs w:val="24"/>
          <w:u w:val="single"/>
        </w:rPr>
        <w:t xml:space="preserve">                            </w:t>
      </w:r>
    </w:p>
    <w:p w14:paraId="0052AD8A">
      <w:pPr>
        <w:pStyle w:val="57"/>
        <w:keepNext w:val="0"/>
        <w:keepLines w:val="0"/>
        <w:pageBreakBefore w:val="0"/>
        <w:kinsoku/>
        <w:wordWrap/>
        <w:overflowPunct/>
        <w:topLinePunct w:val="0"/>
        <w:bidi w:val="0"/>
        <w:spacing w:beforeLines="0" w:line="360" w:lineRule="auto"/>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收取履约保证金金额：</w:t>
      </w:r>
      <w:r>
        <w:rPr>
          <w:rFonts w:hint="eastAsia" w:ascii="宋体" w:hAnsi="宋体" w:eastAsia="宋体" w:cs="宋体"/>
          <w:bCs/>
          <w:color w:val="auto"/>
          <w:sz w:val="24"/>
          <w:szCs w:val="24"/>
          <w:u w:val="single"/>
        </w:rPr>
        <w:t xml:space="preserve">                            </w:t>
      </w:r>
    </w:p>
    <w:p w14:paraId="5C7A7674">
      <w:pPr>
        <w:keepNext w:val="0"/>
        <w:keepLines w:val="0"/>
        <w:pageBreakBefore w:val="0"/>
        <w:kinsoku/>
        <w:wordWrap/>
        <w:overflowPunct/>
        <w:topLinePunct w:val="0"/>
        <w:bidi w:val="0"/>
        <w:snapToGrid w:val="0"/>
        <w:spacing w:beforeLines="0"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u w:val="none"/>
          <w:lang w:val="en-US" w:eastAsia="zh-CN"/>
        </w:rPr>
        <w:t>履约担保期限</w:t>
      </w:r>
      <w:r>
        <w:rPr>
          <w:rFonts w:hint="eastAsia" w:ascii="宋体" w:hAnsi="宋体" w:eastAsia="宋体" w:cs="宋体"/>
          <w:bCs/>
          <w:color w:val="auto"/>
          <w:sz w:val="24"/>
          <w:szCs w:val="24"/>
          <w:u w:val="none"/>
          <w:lang w:eastAsia="zh-CN"/>
        </w:rPr>
        <w:t>：</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single"/>
        </w:rPr>
        <w:t xml:space="preserve">       </w:t>
      </w:r>
    </w:p>
    <w:p w14:paraId="1596A735">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（4）分期履行要求：</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single"/>
        </w:rPr>
        <w:t xml:space="preserve"> </w:t>
      </w:r>
    </w:p>
    <w:p w14:paraId="499E78EF">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bCs/>
          <w:color w:val="auto"/>
          <w:sz w:val="24"/>
          <w:szCs w:val="24"/>
        </w:rPr>
        <w:t>（5）</w:t>
      </w:r>
      <w:r>
        <w:rPr>
          <w:rFonts w:hint="eastAsia" w:ascii="宋体" w:hAnsi="宋体" w:eastAsia="宋体" w:cs="宋体"/>
          <w:bCs/>
          <w:color w:val="auto"/>
          <w:sz w:val="24"/>
          <w:szCs w:val="24"/>
          <w:lang w:eastAsia="zh-CN"/>
        </w:rPr>
        <w:t>风险处置措施和替代方案</w:t>
      </w:r>
      <w:r>
        <w:rPr>
          <w:rFonts w:hint="eastAsia" w:ascii="宋体" w:hAnsi="宋体" w:eastAsia="宋体" w:cs="宋体"/>
          <w:bCs/>
          <w:color w:val="auto"/>
          <w:sz w:val="24"/>
          <w:szCs w:val="24"/>
        </w:rPr>
        <w:t>：</w:t>
      </w:r>
      <w:r>
        <w:rPr>
          <w:rFonts w:hint="eastAsia" w:ascii="宋体" w:hAnsi="宋体" w:eastAsia="宋体" w:cs="宋体"/>
          <w:color w:val="auto"/>
          <w:sz w:val="24"/>
          <w:szCs w:val="24"/>
          <w:u w:val="single"/>
        </w:rPr>
        <w:t xml:space="preserve">                                                               </w:t>
      </w:r>
    </w:p>
    <w:p w14:paraId="2B814C6C">
      <w:pPr>
        <w:keepNext w:val="0"/>
        <w:keepLines w:val="0"/>
        <w:pageBreakBefore w:val="0"/>
        <w:numPr>
          <w:ilvl w:val="0"/>
          <w:numId w:val="8"/>
        </w:numPr>
        <w:kinsoku/>
        <w:wordWrap/>
        <w:overflowPunct/>
        <w:topLinePunct w:val="0"/>
        <w:bidi w:val="0"/>
        <w:adjustRightInd w:val="0"/>
        <w:snapToGrid w:val="0"/>
        <w:spacing w:before="0" w:beforeLines="0" w:line="360" w:lineRule="auto"/>
        <w:ind w:firstLine="482"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合同验收</w:t>
      </w:r>
    </w:p>
    <w:p w14:paraId="128F16AF">
      <w:pPr>
        <w:keepNext w:val="0"/>
        <w:keepLines w:val="0"/>
        <w:pageBreakBefore w:val="0"/>
        <w:numPr>
          <w:ilvl w:val="0"/>
          <w:numId w:val="10"/>
        </w:numPr>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验收组织方式：</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自行组织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委托第三方组织</w:t>
      </w:r>
    </w:p>
    <w:p w14:paraId="4770836B">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验收主体：</w:t>
      </w:r>
      <w:r>
        <w:rPr>
          <w:rFonts w:hint="eastAsia" w:ascii="宋体" w:hAnsi="宋体" w:eastAsia="宋体" w:cs="宋体"/>
          <w:bCs/>
          <w:color w:val="auto"/>
          <w:sz w:val="24"/>
          <w:szCs w:val="24"/>
          <w:u w:val="single"/>
        </w:rPr>
        <w:t xml:space="preserve">                  </w:t>
      </w:r>
    </w:p>
    <w:p w14:paraId="447CDF11">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是否邀请本项目的其他供应商</w:t>
      </w:r>
      <w:r>
        <w:rPr>
          <w:rFonts w:hint="eastAsia" w:ascii="宋体" w:hAnsi="宋体" w:eastAsia="宋体" w:cs="宋体"/>
          <w:bCs/>
          <w:color w:val="auto"/>
          <w:sz w:val="24"/>
          <w:szCs w:val="24"/>
          <w:lang w:eastAsia="zh-CN"/>
        </w:rPr>
        <w:t>参加验收</w:t>
      </w:r>
      <w:r>
        <w:rPr>
          <w:rFonts w:hint="eastAsia" w:ascii="宋体" w:hAnsi="宋体" w:eastAsia="宋体" w:cs="宋体"/>
          <w:bCs/>
          <w:color w:val="auto"/>
          <w:sz w:val="24"/>
          <w:szCs w:val="24"/>
        </w:rPr>
        <w:t>：</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是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3880E6AD">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是否邀请专家</w:t>
      </w:r>
      <w:r>
        <w:rPr>
          <w:rFonts w:hint="eastAsia" w:ascii="宋体" w:hAnsi="宋体" w:eastAsia="宋体" w:cs="宋体"/>
          <w:bCs/>
          <w:color w:val="auto"/>
          <w:sz w:val="24"/>
          <w:szCs w:val="24"/>
          <w:lang w:eastAsia="zh-CN"/>
        </w:rPr>
        <w:t>参加验收</w:t>
      </w:r>
      <w:r>
        <w:rPr>
          <w:rFonts w:hint="eastAsia" w:ascii="宋体" w:hAnsi="宋体" w:eastAsia="宋体" w:cs="宋体"/>
          <w:bCs/>
          <w:color w:val="auto"/>
          <w:sz w:val="24"/>
          <w:szCs w:val="24"/>
        </w:rPr>
        <w:t>：</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是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0BF30D86">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是否邀请服务对象</w:t>
      </w:r>
      <w:r>
        <w:rPr>
          <w:rFonts w:hint="eastAsia" w:ascii="宋体" w:hAnsi="宋体" w:eastAsia="宋体" w:cs="宋体"/>
          <w:bCs/>
          <w:color w:val="auto"/>
          <w:sz w:val="24"/>
          <w:szCs w:val="24"/>
          <w:lang w:eastAsia="zh-CN"/>
        </w:rPr>
        <w:t>参加验收</w:t>
      </w:r>
      <w:r>
        <w:rPr>
          <w:rFonts w:hint="eastAsia" w:ascii="宋体" w:hAnsi="宋体" w:eastAsia="宋体" w:cs="宋体"/>
          <w:bCs/>
          <w:color w:val="auto"/>
          <w:sz w:val="24"/>
          <w:szCs w:val="24"/>
        </w:rPr>
        <w:t>：</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是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7B589239">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是否邀请第三方检测机构</w:t>
      </w:r>
      <w:r>
        <w:rPr>
          <w:rFonts w:hint="eastAsia" w:ascii="宋体" w:hAnsi="宋体" w:eastAsia="宋体" w:cs="宋体"/>
          <w:bCs/>
          <w:color w:val="auto"/>
          <w:sz w:val="24"/>
          <w:szCs w:val="24"/>
          <w:lang w:eastAsia="zh-CN"/>
        </w:rPr>
        <w:t>参加验收</w:t>
      </w:r>
      <w:r>
        <w:rPr>
          <w:rFonts w:hint="eastAsia" w:ascii="宋体" w:hAnsi="宋体" w:eastAsia="宋体" w:cs="宋体"/>
          <w:bCs/>
          <w:color w:val="auto"/>
          <w:sz w:val="24"/>
          <w:szCs w:val="24"/>
        </w:rPr>
        <w:t>：</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是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1F02C247">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是否进行抽查检测：</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是</w:t>
      </w:r>
      <w:r>
        <w:rPr>
          <w:rFonts w:hint="eastAsia" w:ascii="宋体" w:hAnsi="宋体" w:eastAsia="宋体" w:cs="宋体"/>
          <w:bCs/>
          <w:color w:val="auto"/>
          <w:sz w:val="24"/>
          <w:szCs w:val="24"/>
          <w:lang w:eastAsia="zh-CN"/>
        </w:rPr>
        <w:t>，抽查比例：</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 xml:space="preserve">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3AFA98FD">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lang w:val="en-US" w:eastAsia="zh-CN"/>
        </w:rPr>
        <w:t>是否存在破坏性检测：</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是</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u w:val="single"/>
          <w:lang w:eastAsia="zh-CN"/>
        </w:rPr>
        <w:t>（应明确对被破坏的检测产品的处理方式）</w:t>
      </w:r>
    </w:p>
    <w:p w14:paraId="16ACF323">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 xml:space="preserve">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12162B1C">
      <w:pPr>
        <w:keepNext w:val="0"/>
        <w:keepLines w:val="0"/>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验收组织的其他事项：</w:t>
      </w:r>
      <w:r>
        <w:rPr>
          <w:rFonts w:hint="eastAsia" w:ascii="宋体" w:hAnsi="宋体" w:eastAsia="宋体" w:cs="宋体"/>
          <w:bCs/>
          <w:color w:val="auto"/>
          <w:sz w:val="24"/>
          <w:szCs w:val="24"/>
          <w:u w:val="single"/>
        </w:rPr>
        <w:t xml:space="preserve">                </w:t>
      </w:r>
    </w:p>
    <w:p w14:paraId="7885EFDE">
      <w:pPr>
        <w:adjustRightInd w:val="0"/>
        <w:snapToGrid w:val="0"/>
        <w:spacing w:before="0" w:beforeLines="0" w:line="360" w:lineRule="auto"/>
        <w:ind w:firstLine="480" w:firstLineChars="200"/>
        <w:jc w:val="left"/>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（2）履约验收时间：</w:t>
      </w:r>
      <w:r>
        <w:rPr>
          <w:rFonts w:hint="eastAsia" w:ascii="宋体" w:hAnsi="宋体" w:eastAsia="宋体" w:cs="宋体"/>
          <w:bCs/>
          <w:color w:val="auto"/>
          <w:sz w:val="24"/>
          <w:szCs w:val="24"/>
          <w:u w:val="single"/>
        </w:rPr>
        <w:t>（计划于何时验收/供应商提出验收申请之日起   日内组织验收）</w:t>
      </w:r>
      <w:r>
        <w:rPr>
          <w:rFonts w:hint="eastAsia" w:ascii="宋体" w:hAnsi="宋体" w:eastAsia="宋体" w:cs="宋体"/>
          <w:bCs/>
          <w:color w:val="auto"/>
          <w:sz w:val="24"/>
          <w:szCs w:val="24"/>
          <w:u w:val="single"/>
          <w:lang w:val="en-US" w:eastAsia="zh-CN"/>
        </w:rPr>
        <w:t xml:space="preserve"> </w:t>
      </w:r>
    </w:p>
    <w:p w14:paraId="6637226E">
      <w:pPr>
        <w:adjustRightInd w:val="0"/>
        <w:snapToGrid w:val="0"/>
        <w:spacing w:before="0" w:beforeLines="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（3）履约验收方式：</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一次性验收         </w:t>
      </w:r>
    </w:p>
    <w:p w14:paraId="32BFA4A9">
      <w:pPr>
        <w:adjustRightInd w:val="0"/>
        <w:snapToGrid w:val="0"/>
        <w:spacing w:before="0" w:beforeLines="0" w:line="360" w:lineRule="auto"/>
        <w:ind w:firstLine="0" w:firstLineChars="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分期/分项验收</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（应明确分期</w:t>
      </w:r>
      <w:r>
        <w:rPr>
          <w:rFonts w:hint="eastAsia" w:ascii="宋体" w:hAnsi="宋体" w:eastAsia="宋体" w:cs="宋体"/>
          <w:bCs/>
          <w:color w:val="auto"/>
          <w:sz w:val="24"/>
          <w:szCs w:val="24"/>
          <w:u w:val="single"/>
          <w:lang w:val="en" w:eastAsia="zh-CN"/>
        </w:rPr>
        <w:t>/分项验收的工作安排</w:t>
      </w:r>
      <w:r>
        <w:rPr>
          <w:rFonts w:hint="eastAsia" w:ascii="宋体" w:hAnsi="宋体" w:eastAsia="宋体" w:cs="宋体"/>
          <w:bCs/>
          <w:color w:val="auto"/>
          <w:sz w:val="24"/>
          <w:szCs w:val="24"/>
          <w:u w:val="single"/>
          <w:lang w:eastAsia="zh-CN"/>
        </w:rPr>
        <w:t>）</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p>
    <w:p w14:paraId="0FF78AFD">
      <w:pPr>
        <w:adjustRightInd w:val="0"/>
        <w:snapToGrid w:val="0"/>
        <w:spacing w:before="0" w:beforeLines="0"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（4）履约验收程序：</w:t>
      </w:r>
      <w:r>
        <w:rPr>
          <w:rFonts w:hint="eastAsia" w:ascii="宋体" w:hAnsi="宋体" w:eastAsia="宋体" w:cs="宋体"/>
          <w:bCs/>
          <w:color w:val="auto"/>
          <w:sz w:val="24"/>
          <w:szCs w:val="24"/>
          <w:u w:val="single"/>
        </w:rPr>
        <w:t xml:space="preserve">                                         </w:t>
      </w:r>
    </w:p>
    <w:p w14:paraId="15D31B0E">
      <w:pPr>
        <w:adjustRightInd w:val="0"/>
        <w:snapToGrid w:val="0"/>
        <w:spacing w:before="0" w:beforeLines="0" w:line="360" w:lineRule="auto"/>
        <w:ind w:firstLine="480" w:firstLineChars="200"/>
        <w:jc w:val="left"/>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（5）履约验收的内容：</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4"/>
          <w:szCs w:val="24"/>
          <w:u w:val="single"/>
        </w:rPr>
        <w:t xml:space="preserve">                                      </w:t>
      </w:r>
    </w:p>
    <w:p w14:paraId="49AD4E8B">
      <w:pPr>
        <w:adjustRightInd w:val="0"/>
        <w:snapToGrid w:val="0"/>
        <w:spacing w:before="0" w:beforeLines="0" w:line="360" w:lineRule="auto"/>
        <w:ind w:firstLine="480" w:firstLineChars="200"/>
        <w:jc w:val="left"/>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（6）履约验收标准：</w:t>
      </w:r>
      <w:r>
        <w:rPr>
          <w:rFonts w:hint="eastAsia" w:ascii="宋体" w:hAnsi="宋体" w:eastAsia="宋体" w:cs="宋体"/>
          <w:bCs/>
          <w:color w:val="auto"/>
          <w:sz w:val="24"/>
          <w:szCs w:val="24"/>
          <w:u w:val="single"/>
        </w:rPr>
        <w:t xml:space="preserve">                                         </w:t>
      </w:r>
    </w:p>
    <w:p w14:paraId="590C8C43">
      <w:pPr>
        <w:pStyle w:val="57"/>
        <w:spacing w:beforeLines="0" w:line="360" w:lineRule="auto"/>
        <w:jc w:val="left"/>
        <w:rPr>
          <w:rFonts w:hint="eastAsia" w:ascii="宋体" w:hAnsi="宋体" w:eastAsia="宋体" w:cs="宋体"/>
          <w:color w:val="auto"/>
          <w:sz w:val="24"/>
          <w:szCs w:val="24"/>
          <w:lang w:eastAsia="zh-CN"/>
        </w:rPr>
      </w:pPr>
      <w:r>
        <w:rPr>
          <w:rFonts w:hint="eastAsia" w:ascii="宋体" w:hAnsi="宋体" w:eastAsia="宋体" w:cs="宋体"/>
          <w:bCs/>
          <w:color w:val="auto"/>
          <w:sz w:val="24"/>
          <w:szCs w:val="24"/>
          <w:u w:val="none"/>
          <w:lang w:eastAsia="zh-CN"/>
        </w:rPr>
        <w:t>（</w:t>
      </w:r>
      <w:r>
        <w:rPr>
          <w:rFonts w:hint="eastAsia" w:ascii="宋体" w:hAnsi="宋体" w:eastAsia="宋体" w:cs="宋体"/>
          <w:bCs/>
          <w:color w:val="auto"/>
          <w:sz w:val="24"/>
          <w:szCs w:val="24"/>
          <w:u w:val="none"/>
          <w:lang w:val="en-US" w:eastAsia="zh-CN"/>
        </w:rPr>
        <w:t>7</w:t>
      </w:r>
      <w:r>
        <w:rPr>
          <w:rFonts w:hint="eastAsia" w:ascii="宋体" w:hAnsi="宋体" w:eastAsia="宋体" w:cs="宋体"/>
          <w:bCs/>
          <w:color w:val="auto"/>
          <w:sz w:val="24"/>
          <w:szCs w:val="24"/>
          <w:u w:val="none"/>
          <w:lang w:eastAsia="zh-CN"/>
        </w:rPr>
        <w:t>）是否以采购活动中供应商提供的样品作为参考：</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 xml:space="preserve">是  </w:t>
      </w:r>
      <w:r>
        <w:rPr>
          <w:rFonts w:hint="eastAsia" w:ascii="宋体" w:hAnsi="宋体" w:eastAsia="宋体" w:cs="宋体"/>
          <w:color w:val="auto"/>
          <w:sz w:val="24"/>
          <w:szCs w:val="24"/>
        </w:rPr>
        <w:sym w:font="Wingdings" w:char="00A8"/>
      </w:r>
      <w:r>
        <w:rPr>
          <w:rFonts w:hint="eastAsia" w:ascii="宋体" w:hAnsi="宋体" w:eastAsia="宋体" w:cs="宋体"/>
          <w:bCs/>
          <w:color w:val="auto"/>
          <w:sz w:val="24"/>
          <w:szCs w:val="24"/>
        </w:rPr>
        <w:t>否</w:t>
      </w:r>
    </w:p>
    <w:p w14:paraId="55CB1538">
      <w:pPr>
        <w:adjustRightInd w:val="0"/>
        <w:snapToGrid w:val="0"/>
        <w:spacing w:before="0" w:beforeLines="0" w:line="360" w:lineRule="auto"/>
        <w:ind w:firstLine="480" w:firstLineChars="200"/>
        <w:jc w:val="left"/>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（8）履约验收其他事项：</w:t>
      </w:r>
      <w:r>
        <w:rPr>
          <w:rFonts w:hint="eastAsia" w:ascii="宋体" w:hAnsi="宋体" w:eastAsia="宋体" w:cs="宋体"/>
          <w:bCs/>
          <w:color w:val="auto"/>
          <w:sz w:val="24"/>
          <w:szCs w:val="24"/>
          <w:u w:val="single"/>
        </w:rPr>
        <w:t xml:space="preserve">      </w:t>
      </w:r>
      <w:r>
        <w:rPr>
          <w:rFonts w:hint="eastAsia" w:ascii="宋体" w:hAnsi="宋体" w:eastAsia="宋体" w:cs="宋体"/>
          <w:bCs/>
          <w:i w:val="0"/>
          <w:iCs w:val="0"/>
          <w:color w:val="auto"/>
          <w:sz w:val="24"/>
          <w:szCs w:val="24"/>
          <w:u w:val="single"/>
        </w:rPr>
        <w:t>（产权过户登记等）</w:t>
      </w:r>
      <w:r>
        <w:rPr>
          <w:rFonts w:hint="eastAsia" w:ascii="宋体" w:hAnsi="宋体" w:eastAsia="宋体" w:cs="宋体"/>
          <w:bCs/>
          <w:color w:val="auto"/>
          <w:sz w:val="24"/>
          <w:szCs w:val="24"/>
          <w:u w:val="single"/>
        </w:rPr>
        <w:t xml:space="preserve">          </w:t>
      </w:r>
    </w:p>
    <w:p w14:paraId="3D078EE0">
      <w:pPr>
        <w:numPr>
          <w:ilvl w:val="0"/>
          <w:numId w:val="8"/>
        </w:numPr>
        <w:adjustRightInd w:val="0"/>
        <w:snapToGrid w:val="0"/>
        <w:spacing w:before="0" w:beforeLines="0"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组成合同的文件</w:t>
      </w:r>
    </w:p>
    <w:p w14:paraId="767309B1">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本协议书与下列文件一起构成合同文件，如下述文件之间有任何抵触、矛盾或歧义，应按以下顺序解释：</w:t>
      </w:r>
    </w:p>
    <w:p w14:paraId="7844EF7C">
      <w:pPr>
        <w:adjustRightInd w:val="0"/>
        <w:snapToGrid w:val="0"/>
        <w:spacing w:before="0" w:beforeLines="0"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p>
    <w:p w14:paraId="2ABDF0EB">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）政府采购合同专用条款</w:t>
      </w:r>
    </w:p>
    <w:p w14:paraId="263C4AC3">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）政府采购合同通用条款</w:t>
      </w:r>
    </w:p>
    <w:p w14:paraId="21BAF2B3">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p>
    <w:p w14:paraId="57E121CB">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）投标（响应）文件</w:t>
      </w:r>
    </w:p>
    <w:p w14:paraId="6488024A">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（6）采购文件</w:t>
      </w:r>
    </w:p>
    <w:p w14:paraId="439C9903">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（7）有关技术文件，图纸</w:t>
      </w:r>
    </w:p>
    <w:p w14:paraId="0D52BD31">
      <w:pPr>
        <w:pStyle w:val="57"/>
        <w:spacing w:beforeLines="0" w:line="360" w:lineRule="auto"/>
        <w:jc w:val="left"/>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729E4664">
      <w:pPr>
        <w:numPr>
          <w:ilvl w:val="0"/>
          <w:numId w:val="8"/>
        </w:numPr>
        <w:adjustRightInd w:val="0"/>
        <w:snapToGrid w:val="0"/>
        <w:spacing w:before="0" w:beforeLines="0"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合同生效</w:t>
      </w:r>
    </w:p>
    <w:p w14:paraId="16C76619">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本合同自</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生效。</w:t>
      </w:r>
    </w:p>
    <w:p w14:paraId="06353566">
      <w:pPr>
        <w:numPr>
          <w:ilvl w:val="0"/>
          <w:numId w:val="8"/>
        </w:numPr>
        <w:adjustRightInd w:val="0"/>
        <w:snapToGrid w:val="0"/>
        <w:spacing w:before="0" w:beforeLines="0"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合同份数</w:t>
      </w:r>
    </w:p>
    <w:p w14:paraId="7E0DB528">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本合同一式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w:t>
      </w:r>
      <w:r>
        <w:rPr>
          <w:rFonts w:hint="eastAsia" w:ascii="宋体" w:hAnsi="宋体" w:eastAsia="宋体" w:cs="宋体"/>
          <w:color w:val="auto"/>
          <w:sz w:val="24"/>
          <w:szCs w:val="24"/>
          <w:lang w:eastAsia="zh-CN"/>
        </w:rPr>
        <w:t>甲方</w:t>
      </w:r>
      <w:r>
        <w:rPr>
          <w:rFonts w:hint="eastAsia" w:ascii="宋体" w:hAnsi="宋体" w:eastAsia="宋体" w:cs="宋体"/>
          <w:color w:val="auto"/>
          <w:sz w:val="24"/>
          <w:szCs w:val="24"/>
        </w:rPr>
        <w:t>执</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w:t>
      </w:r>
      <w:r>
        <w:rPr>
          <w:rFonts w:hint="eastAsia" w:ascii="宋体" w:hAnsi="宋体" w:eastAsia="宋体" w:cs="宋体"/>
          <w:color w:val="auto"/>
          <w:sz w:val="24"/>
          <w:szCs w:val="24"/>
          <w:lang w:eastAsia="zh-CN"/>
        </w:rPr>
        <w:t>乙方</w:t>
      </w:r>
      <w:r>
        <w:rPr>
          <w:rFonts w:hint="eastAsia" w:ascii="宋体" w:hAnsi="宋体" w:eastAsia="宋体" w:cs="宋体"/>
          <w:color w:val="auto"/>
          <w:sz w:val="24"/>
          <w:szCs w:val="24"/>
        </w:rPr>
        <w:t>执</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份，均具有同等法律效力。</w:t>
      </w:r>
    </w:p>
    <w:p w14:paraId="0B878694">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合同订立时间：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0CBEA8C">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合同订立地点：</w:t>
      </w:r>
      <w:r>
        <w:rPr>
          <w:rFonts w:hint="eastAsia" w:ascii="宋体" w:hAnsi="宋体" w:eastAsia="宋体" w:cs="宋体"/>
          <w:color w:val="auto"/>
          <w:sz w:val="24"/>
          <w:szCs w:val="24"/>
          <w:u w:val="single"/>
        </w:rPr>
        <w:t xml:space="preserve">                           </w:t>
      </w:r>
    </w:p>
    <w:p w14:paraId="1DCA33DC">
      <w:pPr>
        <w:adjustRightInd w:val="0"/>
        <w:snapToGrid w:val="0"/>
        <w:spacing w:before="0" w:beforeLines="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附件：具体标</w:t>
      </w:r>
      <w:r>
        <w:rPr>
          <w:rFonts w:hint="eastAsia" w:ascii="宋体" w:hAnsi="宋体" w:eastAsia="宋体" w:cs="宋体"/>
          <w:color w:val="auto"/>
          <w:sz w:val="24"/>
          <w:szCs w:val="24"/>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rPr>
        <w:t>、联合协议、分包</w:t>
      </w:r>
      <w:r>
        <w:rPr>
          <w:rFonts w:hint="eastAsia" w:ascii="宋体" w:hAnsi="宋体" w:eastAsia="宋体" w:cs="宋体"/>
          <w:color w:val="auto"/>
          <w:sz w:val="24"/>
          <w:szCs w:val="24"/>
          <w:lang w:eastAsia="zh-CN"/>
        </w:rPr>
        <w:t>意向</w:t>
      </w:r>
      <w:r>
        <w:rPr>
          <w:rFonts w:hint="eastAsia" w:ascii="宋体" w:hAnsi="宋体" w:eastAsia="宋体" w:cs="宋体"/>
          <w:color w:val="auto"/>
          <w:sz w:val="24"/>
          <w:szCs w:val="24"/>
        </w:rPr>
        <w:t>协议等。</w:t>
      </w:r>
    </w:p>
    <w:p w14:paraId="6653CCB0">
      <w:pPr>
        <w:pStyle w:val="58"/>
        <w:spacing w:beforeLines="0" w:line="400" w:lineRule="exact"/>
        <w:rPr>
          <w:rFonts w:hint="eastAsia" w:ascii="宋体" w:hAnsi="宋体" w:eastAsia="宋体" w:cs="宋体"/>
          <w:color w:val="auto"/>
        </w:rPr>
      </w:pPr>
    </w:p>
    <w:p w14:paraId="03F856E4">
      <w:pPr>
        <w:rPr>
          <w:rFonts w:hint="eastAsia" w:ascii="宋体" w:hAnsi="宋体" w:eastAsia="宋体" w:cs="宋体"/>
          <w:color w:val="auto"/>
        </w:rPr>
      </w:pPr>
      <w:r>
        <w:rPr>
          <w:rFonts w:hint="eastAsia" w:ascii="宋体" w:hAnsi="宋体" w:eastAsia="宋体" w:cs="宋体"/>
          <w:color w:val="auto"/>
        </w:rPr>
        <w:br w:type="page"/>
      </w:r>
    </w:p>
    <w:p w14:paraId="3E728F35">
      <w:pPr>
        <w:pStyle w:val="58"/>
        <w:rPr>
          <w:rFonts w:hint="eastAsia" w:ascii="宋体" w:hAnsi="宋体" w:eastAsia="宋体" w:cs="宋体"/>
          <w:color w:val="auto"/>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0"/>
        <w:gridCol w:w="1977"/>
        <w:gridCol w:w="2115"/>
      </w:tblGrid>
      <w:tr w14:paraId="20C99C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568977F9">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甲方（采购人</w:t>
            </w:r>
            <w:r>
              <w:rPr>
                <w:rFonts w:hint="eastAsia" w:ascii="宋体" w:hAnsi="宋体" w:eastAsia="宋体" w:cs="宋体"/>
                <w:color w:val="auto"/>
                <w:sz w:val="24"/>
                <w:szCs w:val="24"/>
                <w:lang w:eastAsia="zh-CN"/>
              </w:rPr>
              <w:t>、受采购人委托签订合同的单位</w:t>
            </w:r>
            <w:r>
              <w:rPr>
                <w:rFonts w:hint="eastAsia" w:ascii="宋体" w:hAnsi="宋体" w:eastAsia="宋体" w:cs="宋体"/>
                <w:color w:val="auto"/>
                <w:sz w:val="24"/>
                <w:szCs w:val="24"/>
              </w:rPr>
              <w:t>或采购文件约定的合同甲方）</w:t>
            </w:r>
          </w:p>
        </w:tc>
        <w:tc>
          <w:tcPr>
            <w:tcW w:w="2437" w:type="pct"/>
            <w:gridSpan w:val="2"/>
            <w:tcBorders>
              <w:left w:val="single" w:color="auto" w:sz="2" w:space="0"/>
              <w:bottom w:val="single" w:color="auto" w:sz="2" w:space="0"/>
            </w:tcBorders>
            <w:noWrap w:val="0"/>
            <w:vAlign w:val="center"/>
          </w:tcPr>
          <w:p w14:paraId="432D2BA9">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乙方（供应商）</w:t>
            </w:r>
          </w:p>
        </w:tc>
      </w:tr>
      <w:tr w14:paraId="6C7F4B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732E54A1">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单位名称（公章</w:t>
            </w:r>
            <w:r>
              <w:rPr>
                <w:rFonts w:hint="eastAsia" w:ascii="宋体" w:hAnsi="宋体" w:eastAsia="宋体" w:cs="宋体"/>
                <w:color w:val="auto"/>
                <w:sz w:val="24"/>
                <w:szCs w:val="24"/>
                <w:lang w:eastAsia="zh-CN"/>
              </w:rPr>
              <w:t>或合同章</w:t>
            </w:r>
            <w:r>
              <w:rPr>
                <w:rFonts w:hint="eastAsia" w:ascii="宋体" w:hAnsi="宋体" w:eastAsia="宋体" w:cs="宋体"/>
                <w:color w:val="auto"/>
                <w:sz w:val="24"/>
                <w:szCs w:val="24"/>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9704204">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5B8219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单位名称（公章</w:t>
            </w:r>
            <w:r>
              <w:rPr>
                <w:rFonts w:hint="eastAsia" w:ascii="宋体" w:hAnsi="宋体" w:eastAsia="宋体" w:cs="宋体"/>
                <w:color w:val="auto"/>
                <w:sz w:val="24"/>
                <w:szCs w:val="24"/>
                <w:lang w:eastAsia="zh-CN"/>
              </w:rPr>
              <w:t>或合同章</w:t>
            </w:r>
            <w:r>
              <w:rPr>
                <w:rFonts w:hint="eastAsia" w:ascii="宋体" w:hAnsi="宋体" w:eastAsia="宋体" w:cs="宋体"/>
                <w:color w:val="auto"/>
                <w:sz w:val="24"/>
                <w:szCs w:val="24"/>
              </w:rPr>
              <w:t>）</w:t>
            </w:r>
          </w:p>
        </w:tc>
        <w:tc>
          <w:tcPr>
            <w:tcW w:w="1259" w:type="pct"/>
            <w:tcBorders>
              <w:top w:val="single" w:color="auto" w:sz="2" w:space="0"/>
              <w:left w:val="single" w:color="auto" w:sz="2" w:space="0"/>
              <w:bottom w:val="single" w:color="auto" w:sz="2" w:space="0"/>
            </w:tcBorders>
            <w:noWrap w:val="0"/>
            <w:vAlign w:val="center"/>
          </w:tcPr>
          <w:p w14:paraId="633E29F2">
            <w:pPr>
              <w:adjustRightInd w:val="0"/>
              <w:snapToGrid w:val="0"/>
              <w:spacing w:line="360" w:lineRule="auto"/>
              <w:jc w:val="center"/>
              <w:rPr>
                <w:rFonts w:hint="eastAsia" w:ascii="宋体" w:hAnsi="宋体" w:eastAsia="宋体" w:cs="宋体"/>
                <w:color w:val="auto"/>
                <w:spacing w:val="20"/>
                <w:sz w:val="24"/>
                <w:szCs w:val="24"/>
              </w:rPr>
            </w:pPr>
          </w:p>
        </w:tc>
      </w:tr>
      <w:tr w14:paraId="594EA0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5CAFFD67">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p w14:paraId="3BFF7C23">
            <w:pPr>
              <w:adjustRightInd w:val="0"/>
              <w:snapToGrid w:val="0"/>
              <w:spacing w:line="360" w:lineRule="auto"/>
              <w:ind w:firstLine="115" w:firstLineChars="48"/>
              <w:jc w:val="center"/>
              <w:rPr>
                <w:rFonts w:hint="eastAsia" w:ascii="宋体" w:hAnsi="宋体" w:eastAsia="宋体" w:cs="宋体"/>
                <w:color w:val="auto"/>
                <w:sz w:val="24"/>
                <w:szCs w:val="24"/>
              </w:rPr>
            </w:pPr>
            <w:r>
              <w:rPr>
                <w:rFonts w:hint="eastAsia" w:ascii="宋体" w:hAnsi="宋体" w:eastAsia="宋体" w:cs="宋体"/>
                <w:color w:val="auto"/>
                <w:sz w:val="24"/>
                <w:szCs w:val="24"/>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2BEC7857">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right w:val="single" w:color="auto" w:sz="2" w:space="0"/>
            </w:tcBorders>
            <w:noWrap w:val="0"/>
            <w:vAlign w:val="center"/>
          </w:tcPr>
          <w:p w14:paraId="207B308D">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p w14:paraId="06DCEDC1">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或其委托代理人（签章）</w:t>
            </w:r>
          </w:p>
        </w:tc>
        <w:tc>
          <w:tcPr>
            <w:tcW w:w="1259" w:type="pct"/>
            <w:tcBorders>
              <w:top w:val="single" w:color="auto" w:sz="2" w:space="0"/>
              <w:left w:val="single" w:color="auto" w:sz="2" w:space="0"/>
              <w:bottom w:val="single" w:color="auto" w:sz="2" w:space="0"/>
            </w:tcBorders>
            <w:noWrap w:val="0"/>
            <w:vAlign w:val="center"/>
          </w:tcPr>
          <w:p w14:paraId="494747DF">
            <w:pPr>
              <w:adjustRightInd w:val="0"/>
              <w:snapToGrid w:val="0"/>
              <w:spacing w:line="360" w:lineRule="auto"/>
              <w:jc w:val="center"/>
              <w:rPr>
                <w:rFonts w:hint="eastAsia" w:ascii="宋体" w:hAnsi="宋体" w:eastAsia="宋体" w:cs="宋体"/>
                <w:color w:val="auto"/>
                <w:sz w:val="24"/>
                <w:szCs w:val="24"/>
              </w:rPr>
            </w:pPr>
          </w:p>
        </w:tc>
      </w:tr>
      <w:tr w14:paraId="1000F9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1201DFB0">
            <w:pPr>
              <w:adjustRightInd w:val="0"/>
              <w:snapToGrid w:val="0"/>
              <w:spacing w:line="360" w:lineRule="auto"/>
              <w:jc w:val="center"/>
              <w:rPr>
                <w:rFonts w:hint="eastAsia" w:ascii="宋体" w:hAnsi="宋体" w:eastAsia="宋体" w:cs="宋体"/>
                <w:color w:val="auto"/>
                <w:sz w:val="24"/>
                <w:szCs w:val="24"/>
              </w:rPr>
            </w:pPr>
          </w:p>
        </w:tc>
        <w:tc>
          <w:tcPr>
            <w:tcW w:w="1436" w:type="pct"/>
            <w:vMerge w:val="continue"/>
            <w:tcBorders>
              <w:left w:val="single" w:color="auto" w:sz="2" w:space="0"/>
              <w:bottom w:val="single" w:color="auto" w:sz="2" w:space="0"/>
              <w:right w:val="single" w:color="auto" w:sz="2" w:space="0"/>
            </w:tcBorders>
            <w:noWrap w:val="0"/>
            <w:vAlign w:val="center"/>
          </w:tcPr>
          <w:p w14:paraId="27D005BA">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4A2E054">
            <w:pPr>
              <w:adjustRightInd w:val="0"/>
              <w:snapToGrid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60412D44">
            <w:pPr>
              <w:adjustRightInd w:val="0"/>
              <w:snapToGrid w:val="0"/>
              <w:spacing w:line="360" w:lineRule="auto"/>
              <w:jc w:val="center"/>
              <w:rPr>
                <w:rFonts w:hint="eastAsia" w:ascii="宋体" w:hAnsi="宋体" w:eastAsia="宋体" w:cs="宋体"/>
                <w:color w:val="auto"/>
                <w:spacing w:val="20"/>
                <w:sz w:val="24"/>
                <w:szCs w:val="24"/>
              </w:rPr>
            </w:pPr>
          </w:p>
        </w:tc>
      </w:tr>
      <w:tr w14:paraId="591E2A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40FEF38">
            <w:pPr>
              <w:adjustRightInd w:val="0"/>
              <w:snapToGrid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住</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71230D0">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380FCA6">
            <w:pPr>
              <w:adjustRightInd w:val="0"/>
              <w:snapToGrid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住</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所</w:t>
            </w:r>
          </w:p>
        </w:tc>
        <w:tc>
          <w:tcPr>
            <w:tcW w:w="1259" w:type="pct"/>
            <w:tcBorders>
              <w:top w:val="single" w:color="auto" w:sz="2" w:space="0"/>
              <w:left w:val="single" w:color="auto" w:sz="2" w:space="0"/>
              <w:bottom w:val="single" w:color="auto" w:sz="2" w:space="0"/>
            </w:tcBorders>
            <w:noWrap w:val="0"/>
            <w:vAlign w:val="center"/>
          </w:tcPr>
          <w:p w14:paraId="2AA7ACCF">
            <w:pPr>
              <w:adjustRightInd w:val="0"/>
              <w:snapToGrid w:val="0"/>
              <w:spacing w:line="360" w:lineRule="auto"/>
              <w:jc w:val="center"/>
              <w:rPr>
                <w:rFonts w:hint="eastAsia" w:ascii="宋体" w:hAnsi="宋体" w:eastAsia="宋体" w:cs="宋体"/>
                <w:color w:val="auto"/>
                <w:spacing w:val="20"/>
                <w:sz w:val="24"/>
                <w:szCs w:val="24"/>
              </w:rPr>
            </w:pPr>
          </w:p>
        </w:tc>
      </w:tr>
      <w:tr w14:paraId="298CA1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A4F078D">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97E63B">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557A470">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 系 人</w:t>
            </w:r>
          </w:p>
        </w:tc>
        <w:tc>
          <w:tcPr>
            <w:tcW w:w="1259" w:type="pct"/>
            <w:tcBorders>
              <w:top w:val="single" w:color="auto" w:sz="2" w:space="0"/>
              <w:left w:val="single" w:color="auto" w:sz="2" w:space="0"/>
              <w:bottom w:val="single" w:color="auto" w:sz="2" w:space="0"/>
            </w:tcBorders>
            <w:noWrap w:val="0"/>
            <w:vAlign w:val="center"/>
          </w:tcPr>
          <w:p w14:paraId="10CF5116">
            <w:pPr>
              <w:adjustRightInd w:val="0"/>
              <w:snapToGrid w:val="0"/>
              <w:spacing w:line="360" w:lineRule="auto"/>
              <w:jc w:val="center"/>
              <w:rPr>
                <w:rFonts w:hint="eastAsia" w:ascii="宋体" w:hAnsi="宋体" w:eastAsia="宋体" w:cs="宋体"/>
                <w:color w:val="auto"/>
                <w:spacing w:val="20"/>
                <w:sz w:val="24"/>
                <w:szCs w:val="24"/>
              </w:rPr>
            </w:pPr>
          </w:p>
        </w:tc>
      </w:tr>
      <w:tr w14:paraId="1CD7602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BE2FE38">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8E36F6">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AAAAA6C">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259" w:type="pct"/>
            <w:tcBorders>
              <w:top w:val="single" w:color="auto" w:sz="2" w:space="0"/>
              <w:left w:val="single" w:color="auto" w:sz="2" w:space="0"/>
              <w:bottom w:val="single" w:color="auto" w:sz="2" w:space="0"/>
            </w:tcBorders>
            <w:noWrap w:val="0"/>
            <w:vAlign w:val="center"/>
          </w:tcPr>
          <w:p w14:paraId="18089E3E">
            <w:pPr>
              <w:adjustRightInd w:val="0"/>
              <w:snapToGrid w:val="0"/>
              <w:spacing w:line="360" w:lineRule="auto"/>
              <w:jc w:val="center"/>
              <w:rPr>
                <w:rFonts w:hint="eastAsia" w:ascii="宋体" w:hAnsi="宋体" w:eastAsia="宋体" w:cs="宋体"/>
                <w:color w:val="auto"/>
                <w:spacing w:val="20"/>
                <w:sz w:val="24"/>
                <w:szCs w:val="24"/>
              </w:rPr>
            </w:pPr>
          </w:p>
        </w:tc>
      </w:tr>
      <w:tr w14:paraId="72F432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660D1BD">
            <w:pPr>
              <w:adjustRightInd w:val="0"/>
              <w:snapToGrid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6F30D59">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A2F4645">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0C9B660D">
            <w:pPr>
              <w:adjustRightInd w:val="0"/>
              <w:snapToGrid w:val="0"/>
              <w:spacing w:line="360" w:lineRule="auto"/>
              <w:jc w:val="center"/>
              <w:rPr>
                <w:rFonts w:hint="eastAsia" w:ascii="宋体" w:hAnsi="宋体" w:eastAsia="宋体" w:cs="宋体"/>
                <w:color w:val="auto"/>
                <w:spacing w:val="20"/>
                <w:sz w:val="24"/>
                <w:szCs w:val="24"/>
              </w:rPr>
            </w:pPr>
          </w:p>
        </w:tc>
      </w:tr>
      <w:tr w14:paraId="5A7F88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6B6EA42">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D11851C">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1B2706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259" w:type="pct"/>
            <w:tcBorders>
              <w:top w:val="single" w:color="auto" w:sz="2" w:space="0"/>
              <w:left w:val="single" w:color="auto" w:sz="2" w:space="0"/>
              <w:bottom w:val="single" w:color="auto" w:sz="2" w:space="0"/>
            </w:tcBorders>
            <w:noWrap w:val="0"/>
            <w:vAlign w:val="center"/>
          </w:tcPr>
          <w:p w14:paraId="130BE728">
            <w:pPr>
              <w:adjustRightInd w:val="0"/>
              <w:snapToGrid w:val="0"/>
              <w:spacing w:line="360" w:lineRule="auto"/>
              <w:jc w:val="center"/>
              <w:rPr>
                <w:rFonts w:hint="eastAsia" w:ascii="宋体" w:hAnsi="宋体" w:eastAsia="宋体" w:cs="宋体"/>
                <w:color w:val="auto"/>
                <w:spacing w:val="20"/>
                <w:sz w:val="24"/>
                <w:szCs w:val="24"/>
              </w:rPr>
            </w:pPr>
          </w:p>
        </w:tc>
      </w:tr>
      <w:tr w14:paraId="0433D4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4DE4559">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FCFBF18">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3FA0168">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259" w:type="pct"/>
            <w:tcBorders>
              <w:top w:val="single" w:color="auto" w:sz="2" w:space="0"/>
              <w:left w:val="single" w:color="auto" w:sz="2" w:space="0"/>
              <w:bottom w:val="single" w:color="auto" w:sz="2" w:space="0"/>
            </w:tcBorders>
            <w:noWrap w:val="0"/>
            <w:vAlign w:val="center"/>
          </w:tcPr>
          <w:p w14:paraId="4D546BDA">
            <w:pPr>
              <w:adjustRightInd w:val="0"/>
              <w:snapToGrid w:val="0"/>
              <w:spacing w:line="360" w:lineRule="auto"/>
              <w:jc w:val="center"/>
              <w:rPr>
                <w:rFonts w:hint="eastAsia" w:ascii="宋体" w:hAnsi="宋体" w:eastAsia="宋体" w:cs="宋体"/>
                <w:color w:val="auto"/>
                <w:spacing w:val="20"/>
                <w:sz w:val="24"/>
                <w:szCs w:val="24"/>
              </w:rPr>
            </w:pPr>
          </w:p>
        </w:tc>
      </w:tr>
      <w:tr w14:paraId="02B3C0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CAF5F3E">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0190577">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C903552">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w:t>
            </w:r>
          </w:p>
        </w:tc>
        <w:tc>
          <w:tcPr>
            <w:tcW w:w="1259" w:type="pct"/>
            <w:tcBorders>
              <w:top w:val="single" w:color="auto" w:sz="2" w:space="0"/>
              <w:left w:val="single" w:color="auto" w:sz="2" w:space="0"/>
              <w:bottom w:val="single" w:color="auto" w:sz="2" w:space="0"/>
            </w:tcBorders>
            <w:noWrap w:val="0"/>
            <w:vAlign w:val="center"/>
          </w:tcPr>
          <w:p w14:paraId="63393032">
            <w:pPr>
              <w:adjustRightInd w:val="0"/>
              <w:snapToGrid w:val="0"/>
              <w:spacing w:line="360" w:lineRule="auto"/>
              <w:jc w:val="center"/>
              <w:rPr>
                <w:rFonts w:hint="eastAsia" w:ascii="宋体" w:hAnsi="宋体" w:eastAsia="宋体" w:cs="宋体"/>
                <w:color w:val="auto"/>
                <w:spacing w:val="20"/>
                <w:sz w:val="24"/>
                <w:szCs w:val="24"/>
              </w:rPr>
            </w:pPr>
          </w:p>
        </w:tc>
      </w:tr>
      <w:tr w14:paraId="08DA0D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52174DC">
            <w:pPr>
              <w:adjustRightInd w:val="0"/>
              <w:snapToGrid w:val="0"/>
              <w:spacing w:line="360" w:lineRule="auto"/>
              <w:jc w:val="center"/>
              <w:rPr>
                <w:rFonts w:hint="eastAsia" w:ascii="宋体" w:hAnsi="宋体" w:eastAsia="宋体" w:cs="宋体"/>
                <w:color w:val="auto"/>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56A4C2">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FA5E2E3">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开户名称</w:t>
            </w:r>
          </w:p>
        </w:tc>
        <w:tc>
          <w:tcPr>
            <w:tcW w:w="1259" w:type="pct"/>
            <w:tcBorders>
              <w:top w:val="single" w:color="auto" w:sz="2" w:space="0"/>
              <w:left w:val="single" w:color="auto" w:sz="2" w:space="0"/>
              <w:bottom w:val="single" w:color="auto" w:sz="2" w:space="0"/>
            </w:tcBorders>
            <w:noWrap w:val="0"/>
            <w:vAlign w:val="center"/>
          </w:tcPr>
          <w:p w14:paraId="48450BFE">
            <w:pPr>
              <w:adjustRightInd w:val="0"/>
              <w:snapToGrid w:val="0"/>
              <w:spacing w:line="360" w:lineRule="auto"/>
              <w:jc w:val="center"/>
              <w:rPr>
                <w:rFonts w:hint="eastAsia" w:ascii="宋体" w:hAnsi="宋体" w:eastAsia="宋体" w:cs="宋体"/>
                <w:color w:val="auto"/>
                <w:spacing w:val="20"/>
                <w:sz w:val="24"/>
                <w:szCs w:val="24"/>
              </w:rPr>
            </w:pPr>
          </w:p>
        </w:tc>
      </w:tr>
      <w:tr w14:paraId="57C9EA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73CC4FA">
            <w:pPr>
              <w:adjustRightInd w:val="0"/>
              <w:snapToGrid w:val="0"/>
              <w:spacing w:line="360" w:lineRule="auto"/>
              <w:jc w:val="center"/>
              <w:rPr>
                <w:rFonts w:hint="eastAsia" w:ascii="宋体" w:hAnsi="宋体" w:eastAsia="宋体" w:cs="宋体"/>
                <w:color w:val="auto"/>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14D9CC7">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8C78FCA">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1259" w:type="pct"/>
            <w:tcBorders>
              <w:top w:val="single" w:color="auto" w:sz="2" w:space="0"/>
              <w:left w:val="single" w:color="auto" w:sz="2" w:space="0"/>
              <w:bottom w:val="single" w:color="auto" w:sz="2" w:space="0"/>
            </w:tcBorders>
            <w:noWrap w:val="0"/>
            <w:vAlign w:val="center"/>
          </w:tcPr>
          <w:p w14:paraId="4C5515AE">
            <w:pPr>
              <w:adjustRightInd w:val="0"/>
              <w:snapToGrid w:val="0"/>
              <w:spacing w:line="360" w:lineRule="auto"/>
              <w:jc w:val="center"/>
              <w:rPr>
                <w:rFonts w:hint="eastAsia" w:ascii="宋体" w:hAnsi="宋体" w:eastAsia="宋体" w:cs="宋体"/>
                <w:color w:val="auto"/>
                <w:spacing w:val="20"/>
                <w:sz w:val="24"/>
                <w:szCs w:val="24"/>
              </w:rPr>
            </w:pPr>
          </w:p>
        </w:tc>
      </w:tr>
      <w:tr w14:paraId="145E01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968208F">
            <w:pPr>
              <w:adjustRightInd w:val="0"/>
              <w:snapToGrid w:val="0"/>
              <w:spacing w:line="360" w:lineRule="auto"/>
              <w:jc w:val="center"/>
              <w:rPr>
                <w:rFonts w:hint="eastAsia" w:ascii="宋体" w:hAnsi="宋体" w:eastAsia="宋体" w:cs="宋体"/>
                <w:color w:val="auto"/>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14BFEE5">
            <w:pPr>
              <w:adjustRightInd w:val="0"/>
              <w:snapToGrid w:val="0"/>
              <w:spacing w:line="360" w:lineRule="auto"/>
              <w:jc w:val="center"/>
              <w:rPr>
                <w:rFonts w:hint="eastAsia" w:ascii="宋体" w:hAnsi="宋体" w:eastAsia="宋体" w:cs="宋体"/>
                <w:color w:val="auto"/>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14B8D85">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银行账号</w:t>
            </w:r>
          </w:p>
        </w:tc>
        <w:tc>
          <w:tcPr>
            <w:tcW w:w="1259" w:type="pct"/>
            <w:tcBorders>
              <w:top w:val="single" w:color="auto" w:sz="2" w:space="0"/>
              <w:left w:val="single" w:color="auto" w:sz="2" w:space="0"/>
              <w:bottom w:val="single" w:color="auto" w:sz="2" w:space="0"/>
            </w:tcBorders>
            <w:noWrap w:val="0"/>
            <w:vAlign w:val="center"/>
          </w:tcPr>
          <w:p w14:paraId="2A99120D">
            <w:pPr>
              <w:adjustRightInd w:val="0"/>
              <w:snapToGrid w:val="0"/>
              <w:spacing w:line="360" w:lineRule="auto"/>
              <w:jc w:val="center"/>
              <w:rPr>
                <w:rFonts w:hint="eastAsia" w:ascii="宋体" w:hAnsi="宋体" w:eastAsia="宋体" w:cs="宋体"/>
                <w:color w:val="auto"/>
                <w:spacing w:val="20"/>
                <w:sz w:val="24"/>
                <w:szCs w:val="24"/>
              </w:rPr>
            </w:pPr>
          </w:p>
        </w:tc>
      </w:tr>
      <w:tr w14:paraId="421772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5360C98B">
            <w:pPr>
              <w:pStyle w:val="9"/>
              <w:adjustRightInd w:val="0"/>
              <w:snapToGrid w:val="0"/>
              <w:spacing w:before="156" w:beforeLines="50" w:after="0" w:line="360" w:lineRule="auto"/>
              <w:ind w:left="0" w:leftChars="0"/>
              <w:jc w:val="left"/>
              <w:rPr>
                <w:rFonts w:hint="eastAsia" w:ascii="宋体" w:hAnsi="宋体" w:eastAsia="宋体" w:cs="宋体"/>
                <w:color w:val="auto"/>
                <w:spacing w:val="20"/>
                <w:sz w:val="24"/>
                <w:szCs w:val="24"/>
              </w:rPr>
            </w:pPr>
            <w:r>
              <w:rPr>
                <w:rFonts w:hint="eastAsia" w:ascii="宋体" w:hAnsi="宋体" w:eastAsia="宋体" w:cs="宋体"/>
                <w:color w:val="auto"/>
                <w:sz w:val="24"/>
                <w:szCs w:val="24"/>
              </w:rPr>
              <w:t>注：涉及联合体或其他合同主体的信息应按上表格式加列。</w:t>
            </w:r>
          </w:p>
        </w:tc>
      </w:tr>
    </w:tbl>
    <w:p w14:paraId="7A3B45ED">
      <w:pPr>
        <w:pStyle w:val="3"/>
        <w:keepNext/>
        <w:keepLines w:val="0"/>
        <w:pageBreakBefore w:val="0"/>
        <w:widowControl w:val="0"/>
        <w:numPr>
          <w:ilvl w:val="1"/>
          <w:numId w:val="0"/>
        </w:numPr>
        <w:kinsoku/>
        <w:wordWrap/>
        <w:overflowPunct/>
        <w:topLinePunct w:val="0"/>
        <w:autoSpaceDE/>
        <w:autoSpaceDN/>
        <w:bidi w:val="0"/>
        <w:adjustRightInd w:val="0"/>
        <w:snapToGrid w:val="0"/>
        <w:spacing w:before="156" w:beforeLines="50" w:after="161" w:afterLines="50"/>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1"/>
          <w:szCs w:val="21"/>
          <w:u w:val="single"/>
        </w:rPr>
        <w:br w:type="page"/>
      </w:r>
      <w:bookmarkStart w:id="98" w:name="_Toc2143"/>
      <w:bookmarkStart w:id="99" w:name="_Toc27624"/>
      <w:bookmarkStart w:id="100" w:name="_Toc24475"/>
      <w:r>
        <w:rPr>
          <w:rFonts w:hint="eastAsia" w:ascii="宋体" w:hAnsi="宋体" w:eastAsia="宋体" w:cs="宋体"/>
          <w:b/>
          <w:bCs/>
          <w:color w:val="auto"/>
          <w:sz w:val="28"/>
          <w:szCs w:val="28"/>
        </w:rPr>
        <w:t>第二节 政府采购合同通用条款</w:t>
      </w:r>
      <w:bookmarkEnd w:id="98"/>
      <w:bookmarkEnd w:id="99"/>
      <w:bookmarkEnd w:id="100"/>
    </w:p>
    <w:p w14:paraId="2B9C9FE5">
      <w:pPr>
        <w:tabs>
          <w:tab w:val="left" w:pos="8820"/>
          <w:tab w:val="left" w:pos="9345"/>
          <w:tab w:val="left" w:pos="9765"/>
        </w:tabs>
        <w:adjustRightInd w:val="0"/>
        <w:snapToGrid w:val="0"/>
        <w:spacing w:before="0" w:line="360" w:lineRule="auto"/>
        <w:jc w:val="left"/>
        <w:rPr>
          <w:rFonts w:hint="eastAsia" w:ascii="宋体" w:hAnsi="宋体" w:eastAsia="宋体" w:cs="宋体"/>
          <w:b/>
          <w:bCs/>
          <w:color w:val="auto"/>
          <w:sz w:val="24"/>
          <w:szCs w:val="24"/>
        </w:rPr>
      </w:pPr>
      <w:r>
        <w:rPr>
          <w:rFonts w:hint="eastAsia" w:ascii="宋体" w:hAnsi="宋体" w:eastAsia="宋体" w:cs="宋体"/>
          <w:b/>
          <w:color w:val="auto"/>
          <w:sz w:val="24"/>
          <w:szCs w:val="24"/>
        </w:rPr>
        <w:t>1.</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color w:val="auto"/>
          <w:sz w:val="24"/>
          <w:szCs w:val="24"/>
        </w:rPr>
        <w:t>定义</w:t>
      </w:r>
    </w:p>
    <w:p w14:paraId="3997C225">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244D2D8A">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C1BEAC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3DBCCA96">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rPr>
        <w:t>依法参与合同缔结或履行，享有权利、承担义务的合同当事人</w:t>
      </w:r>
      <w:r>
        <w:rPr>
          <w:rFonts w:hint="eastAsia" w:ascii="宋体" w:hAnsi="宋体" w:eastAsia="宋体" w:cs="宋体"/>
          <w:color w:val="auto"/>
          <w:sz w:val="24"/>
          <w:szCs w:val="24"/>
          <w:highlight w:val="none"/>
        </w:rPr>
        <w:t>。</w:t>
      </w:r>
    </w:p>
    <w:p w14:paraId="06F3CC07">
      <w:pPr>
        <w:tabs>
          <w:tab w:val="left" w:pos="570"/>
          <w:tab w:val="left" w:pos="9240"/>
          <w:tab w:val="left" w:pos="9555"/>
        </w:tabs>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608C606E">
      <w:pPr>
        <w:adjustRightInd w:val="0"/>
        <w:snapToGrid w:val="0"/>
        <w:spacing w:before="0" w:beforeLines="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rPr>
        <w:t>合同当事人意思表示达成一致的任何协议，包括签署的</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r>
        <w:rPr>
          <w:rFonts w:hint="eastAsia" w:ascii="宋体" w:hAnsi="宋体" w:eastAsia="宋体" w:cs="宋体"/>
          <w:color w:val="auto"/>
          <w:sz w:val="24"/>
          <w:szCs w:val="24"/>
        </w:rPr>
        <w:t>政府采购合同专用条款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政府采购合同通用条款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投标（响应）文件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采购文件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有关技术文件</w:t>
      </w:r>
      <w:r>
        <w:rPr>
          <w:rFonts w:hint="eastAsia" w:ascii="宋体" w:hAnsi="宋体" w:eastAsia="宋体" w:cs="宋体"/>
          <w:color w:val="auto"/>
          <w:sz w:val="24"/>
          <w:szCs w:val="24"/>
          <w:lang w:eastAsia="zh-CN"/>
        </w:rPr>
        <w:t>和</w:t>
      </w:r>
      <w:r>
        <w:rPr>
          <w:rFonts w:hint="eastAsia" w:ascii="宋体" w:hAnsi="宋体" w:eastAsia="宋体" w:cs="宋体"/>
          <w:color w:val="auto"/>
          <w:sz w:val="24"/>
          <w:szCs w:val="24"/>
        </w:rPr>
        <w:t>图纸</w:t>
      </w:r>
      <w:r>
        <w:rPr>
          <w:rFonts w:hint="eastAsia" w:ascii="宋体" w:hAnsi="宋体" w:eastAsia="宋体" w:cs="宋体"/>
          <w:color w:val="auto"/>
          <w:sz w:val="24"/>
          <w:szCs w:val="24"/>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55C52F40">
      <w:pPr>
        <w:tabs>
          <w:tab w:val="left" w:pos="570"/>
          <w:tab w:val="left" w:pos="9240"/>
          <w:tab w:val="left" w:pos="9555"/>
        </w:tabs>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313E373E">
      <w:pPr>
        <w:tabs>
          <w:tab w:val="left" w:pos="570"/>
          <w:tab w:val="left" w:pos="9240"/>
          <w:tab w:val="left" w:pos="9555"/>
        </w:tabs>
        <w:adjustRightInd w:val="0"/>
        <w:snapToGrid w:val="0"/>
        <w:spacing w:before="0"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6362B5BD">
      <w:pPr>
        <w:adjustRightInd w:val="0"/>
        <w:snapToGrid w:val="0"/>
        <w:spacing w:before="0" w:line="360" w:lineRule="auto"/>
        <w:ind w:firstLine="480" w:firstLineChars="200"/>
        <w:jc w:val="left"/>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5841D70D">
      <w:pPr>
        <w:adjustRightInd w:val="0"/>
        <w:snapToGrid w:val="0"/>
        <w:spacing w:before="0" w:line="360" w:lineRule="auto"/>
        <w:ind w:firstLine="480" w:firstLineChars="200"/>
        <w:jc w:val="left"/>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3F8E4C2E">
      <w:pPr>
        <w:tabs>
          <w:tab w:val="left" w:pos="570"/>
          <w:tab w:val="left" w:pos="9240"/>
          <w:tab w:val="left" w:pos="9555"/>
        </w:tabs>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“联合体”系指</w:t>
      </w:r>
      <w:r>
        <w:rPr>
          <w:rFonts w:hint="eastAsia" w:ascii="宋体" w:hAnsi="宋体" w:eastAsia="宋体" w:cs="宋体"/>
          <w:color w:val="auto"/>
          <w:sz w:val="24"/>
          <w:szCs w:val="24"/>
          <w:lang w:eastAsia="zh-CN"/>
        </w:rPr>
        <w:t>由</w:t>
      </w:r>
      <w:r>
        <w:rPr>
          <w:rFonts w:hint="eastAsia" w:ascii="宋体" w:hAnsi="宋体" w:eastAsia="宋体" w:cs="宋体"/>
          <w:color w:val="auto"/>
          <w:sz w:val="24"/>
          <w:szCs w:val="24"/>
        </w:rPr>
        <w:t>两个以上的自然人、法人或者</w:t>
      </w:r>
      <w:r>
        <w:rPr>
          <w:rFonts w:hint="eastAsia" w:ascii="宋体" w:hAnsi="宋体" w:eastAsia="宋体" w:cs="宋体"/>
          <w:color w:val="auto"/>
          <w:sz w:val="24"/>
          <w:szCs w:val="24"/>
          <w:lang w:val="en-US" w:eastAsia="zh-CN"/>
        </w:rPr>
        <w:t>非法人</w:t>
      </w:r>
      <w:r>
        <w:rPr>
          <w:rFonts w:hint="eastAsia" w:ascii="宋体" w:hAnsi="宋体" w:eastAsia="宋体" w:cs="宋体"/>
          <w:color w:val="auto"/>
          <w:sz w:val="24"/>
          <w:szCs w:val="24"/>
        </w:rPr>
        <w:t>组织组成，</w:t>
      </w:r>
      <w:r>
        <w:rPr>
          <w:rFonts w:hint="eastAsia" w:ascii="宋体" w:hAnsi="宋体" w:eastAsia="宋体" w:cs="宋体"/>
          <w:color w:val="auto"/>
          <w:sz w:val="24"/>
          <w:szCs w:val="24"/>
          <w:lang w:eastAsia="zh-CN"/>
        </w:rPr>
        <w:t>以一个供应商的身份共同参加政府采购的主体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2B6D34B3">
      <w:pPr>
        <w:tabs>
          <w:tab w:val="left" w:pos="570"/>
          <w:tab w:val="left" w:pos="9240"/>
          <w:tab w:val="left" w:pos="9555"/>
        </w:tabs>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34C73BC5">
      <w:pPr>
        <w:numPr>
          <w:ilvl w:val="0"/>
          <w:numId w:val="11"/>
        </w:num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06DF6A0A">
      <w:pPr>
        <w:autoSpaceDE w:val="0"/>
        <w:autoSpaceDN w:val="0"/>
        <w:adjustRightInd w:val="0"/>
        <w:snapToGrid w:val="0"/>
        <w:spacing w:before="0"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60EA7C6F">
      <w:pPr>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418BA9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rPr>
        <w:t>乙方应当在约定的时间、地点</w:t>
      </w:r>
      <w:r>
        <w:rPr>
          <w:rFonts w:hint="eastAsia" w:ascii="宋体" w:hAnsi="宋体" w:eastAsia="宋体" w:cs="宋体"/>
          <w:color w:val="auto"/>
          <w:sz w:val="24"/>
          <w:szCs w:val="24"/>
          <w:lang w:eastAsia="zh-CN"/>
        </w:rPr>
        <w:t>，按照约定</w:t>
      </w:r>
      <w:r>
        <w:rPr>
          <w:rFonts w:hint="eastAsia" w:ascii="宋体" w:hAnsi="宋体" w:eastAsia="宋体" w:cs="宋体"/>
          <w:color w:val="auto"/>
          <w:sz w:val="24"/>
          <w:szCs w:val="24"/>
        </w:rPr>
        <w:t>方式履行合同。</w:t>
      </w:r>
    </w:p>
    <w:p w14:paraId="62DBE86D">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7D56AD9D">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162A676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549C19CB">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594CB7B3">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B6CA1A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2BFFC4F6">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00802D4">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04B256F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494D750D">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0A28DDB7">
      <w:pPr>
        <w:pStyle w:val="8"/>
        <w:spacing w:after="0"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2070DEE7">
      <w:pPr>
        <w:pStyle w:val="8"/>
        <w:spacing w:after="0"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770A9672">
      <w:pPr>
        <w:numPr>
          <w:ilvl w:val="0"/>
          <w:numId w:val="12"/>
        </w:num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322580AF">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6AE8EA62">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2FDDA749">
      <w:pPr>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2F5B321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7E3FF617">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6A6DD317">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17FE1402">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30B00F6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rPr>
        <w:t>乙方在运输到达之前</w:t>
      </w:r>
      <w:r>
        <w:rPr>
          <w:rFonts w:hint="eastAsia" w:ascii="宋体" w:hAnsi="宋体" w:eastAsia="宋体" w:cs="宋体"/>
          <w:color w:val="auto"/>
          <w:sz w:val="24"/>
          <w:szCs w:val="24"/>
          <w:lang w:eastAsia="zh-CN"/>
        </w:rPr>
        <w:t>应</w:t>
      </w:r>
      <w:r>
        <w:rPr>
          <w:rFonts w:hint="eastAsia" w:ascii="宋体" w:hAnsi="宋体" w:eastAsia="宋体" w:cs="宋体"/>
          <w:color w:val="auto"/>
          <w:sz w:val="24"/>
          <w:szCs w:val="24"/>
        </w:rPr>
        <w:t>提前通知</w:t>
      </w:r>
      <w:r>
        <w:rPr>
          <w:rFonts w:hint="eastAsia" w:ascii="宋体" w:hAnsi="宋体" w:eastAsia="宋体" w:cs="宋体"/>
          <w:color w:val="auto"/>
          <w:sz w:val="24"/>
          <w:szCs w:val="24"/>
          <w:lang w:eastAsia="zh-CN"/>
        </w:rPr>
        <w:t>甲方</w:t>
      </w:r>
      <w:r>
        <w:rPr>
          <w:rFonts w:hint="eastAsia" w:ascii="宋体" w:hAnsi="宋体" w:eastAsia="宋体" w:cs="宋体"/>
          <w:color w:val="auto"/>
          <w:sz w:val="24"/>
          <w:szCs w:val="24"/>
        </w:rPr>
        <w:t>，并提示货物运输装卸的注意事项</w:t>
      </w:r>
      <w:r>
        <w:rPr>
          <w:rFonts w:hint="eastAsia" w:ascii="宋体" w:hAnsi="宋体" w:eastAsia="宋体" w:cs="宋体"/>
          <w:color w:val="auto"/>
          <w:sz w:val="24"/>
          <w:szCs w:val="24"/>
          <w:lang w:eastAsia="zh-CN"/>
        </w:rPr>
        <w:t>，甲方配合乙方做好货物的接收工作。</w:t>
      </w:r>
    </w:p>
    <w:p w14:paraId="448ACF30">
      <w:pPr>
        <w:pStyle w:val="57"/>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52D9863C">
      <w:pPr>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78D5FED">
      <w:pPr>
        <w:pStyle w:val="10"/>
        <w:adjustRightInd w:val="0"/>
        <w:snapToGrid w:val="0"/>
        <w:spacing w:before="0"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2B6DDEB9">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lang w:eastAsia="zh-CN"/>
        </w:rPr>
        <w:t>约</w:t>
      </w:r>
      <w:r>
        <w:rPr>
          <w:rFonts w:hint="eastAsia" w:ascii="宋体" w:hAnsi="宋体" w:eastAsia="宋体" w:cs="宋体"/>
          <w:color w:val="auto"/>
          <w:sz w:val="24"/>
          <w:szCs w:val="24"/>
        </w:rPr>
        <w:t>定的品牌、规格型号、技术性能、配置、质量、数量等要求。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A175E1F">
      <w:pPr>
        <w:pStyle w:val="1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07DC3ECB">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74FEE3E0">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7D36F550">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7F7E710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color w:val="auto"/>
          <w:sz w:val="24"/>
          <w:szCs w:val="24"/>
        </w:rPr>
        <w:t>在其使用寿命期内具</w:t>
      </w:r>
      <w:r>
        <w:rPr>
          <w:rFonts w:hint="eastAsia" w:ascii="宋体" w:hAnsi="宋体" w:eastAsia="宋体" w:cs="宋体"/>
          <w:color w:val="auto"/>
          <w:sz w:val="24"/>
          <w:szCs w:val="24"/>
          <w:lang w:eastAsia="zh-CN"/>
        </w:rPr>
        <w:t>备合同约定</w:t>
      </w:r>
      <w:r>
        <w:rPr>
          <w:rFonts w:hint="eastAsia" w:ascii="宋体" w:hAnsi="宋体" w:eastAsia="宋体" w:cs="宋体"/>
          <w:color w:val="auto"/>
          <w:sz w:val="24"/>
          <w:szCs w:val="24"/>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0DB7491A">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FAC798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7AA11AA1">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3DA92D0D">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631D7DF8">
      <w:pPr>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3CD93F8B">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D6A96FC">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rPr>
        <w:t>乙方保证在交付的货物上不存在抵押权等担保物权。</w:t>
      </w:r>
    </w:p>
    <w:p w14:paraId="4E8BFA8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148933BC">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7F6B4B7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101" w:name="_Hlk163047038"/>
      <w:r>
        <w:rPr>
          <w:rFonts w:hint="eastAsia" w:ascii="宋体" w:hAnsi="宋体" w:eastAsia="宋体" w:cs="宋体"/>
          <w:color w:val="auto"/>
          <w:sz w:val="24"/>
          <w:szCs w:val="24"/>
        </w:rPr>
        <w:t>因违反前述约定对第三人构成侵权的，应当由乙方向第三人承担法律责任；甲方依法向第三人赔偿后，有权向乙方追偿。甲方有其他损失的，乙方应当赔偿</w:t>
      </w:r>
      <w:bookmarkEnd w:id="101"/>
      <w:r>
        <w:rPr>
          <w:rFonts w:hint="eastAsia" w:ascii="宋体" w:hAnsi="宋体" w:eastAsia="宋体" w:cs="宋体"/>
          <w:color w:val="auto"/>
          <w:sz w:val="24"/>
          <w:szCs w:val="24"/>
          <w:highlight w:val="none"/>
        </w:rPr>
        <w:t>。</w:t>
      </w:r>
    </w:p>
    <w:p w14:paraId="4CD957CA">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9CF7987">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11.1 </w:t>
      </w:r>
      <w:r>
        <w:rPr>
          <w:rFonts w:hint="eastAsia" w:ascii="宋体" w:hAnsi="宋体" w:eastAsia="宋体" w:cs="宋体"/>
          <w:color w:val="auto"/>
          <w:sz w:val="24"/>
          <w:szCs w:val="24"/>
        </w:rPr>
        <w:t>甲、乙双方</w:t>
      </w:r>
      <w:r>
        <w:rPr>
          <w:rFonts w:hint="eastAsia" w:ascii="宋体" w:hAnsi="宋体" w:eastAsia="宋体" w:cs="宋体"/>
          <w:color w:val="auto"/>
          <w:sz w:val="24"/>
          <w:szCs w:val="24"/>
          <w:lang w:eastAsia="zh-CN"/>
        </w:rPr>
        <w:t>对</w:t>
      </w:r>
      <w:r>
        <w:rPr>
          <w:rFonts w:hint="eastAsia" w:ascii="宋体" w:hAnsi="宋体" w:eastAsia="宋体" w:cs="宋体"/>
          <w:color w:val="auto"/>
          <w:sz w:val="24"/>
          <w:szCs w:val="24"/>
        </w:rPr>
        <w:t>采购和合同履行过程中所获悉的</w:t>
      </w:r>
      <w:r>
        <w:rPr>
          <w:rFonts w:hint="eastAsia" w:ascii="宋体" w:hAnsi="宋体" w:eastAsia="宋体" w:cs="宋体"/>
          <w:color w:val="auto"/>
          <w:sz w:val="24"/>
          <w:szCs w:val="24"/>
          <w:lang w:eastAsia="zh-CN"/>
        </w:rPr>
        <w:t>国家秘密、工作秘密、</w:t>
      </w:r>
      <w:r>
        <w:rPr>
          <w:rFonts w:hint="eastAsia" w:ascii="宋体" w:hAnsi="宋体" w:eastAsia="宋体" w:cs="宋体"/>
          <w:color w:val="auto"/>
          <w:sz w:val="24"/>
          <w:szCs w:val="24"/>
        </w:rPr>
        <w:t>商业秘密或者其他应当保密的信息，均有保密义务</w:t>
      </w:r>
      <w:r>
        <w:rPr>
          <w:rFonts w:hint="eastAsia" w:ascii="宋体" w:hAnsi="宋体" w:eastAsia="宋体" w:cs="宋体"/>
          <w:color w:val="auto"/>
          <w:sz w:val="24"/>
          <w:szCs w:val="24"/>
          <w:lang w:eastAsia="zh-CN"/>
        </w:rPr>
        <w:t>且不受合同有效期所限，直至该信息成为公开信息</w:t>
      </w:r>
      <w:r>
        <w:rPr>
          <w:rFonts w:hint="eastAsia" w:ascii="宋体" w:hAnsi="宋体" w:eastAsia="宋体" w:cs="宋体"/>
          <w:color w:val="auto"/>
          <w:sz w:val="24"/>
          <w:szCs w:val="24"/>
        </w:rPr>
        <w:t>。泄露、不正当地使用</w:t>
      </w:r>
      <w:r>
        <w:rPr>
          <w:rFonts w:hint="eastAsia" w:ascii="宋体" w:hAnsi="宋体" w:eastAsia="宋体" w:cs="宋体"/>
          <w:color w:val="auto"/>
          <w:sz w:val="24"/>
          <w:szCs w:val="24"/>
          <w:lang w:eastAsia="zh-CN"/>
        </w:rPr>
        <w:t>国家秘密、工作秘密、</w:t>
      </w:r>
      <w:r>
        <w:rPr>
          <w:rFonts w:hint="eastAsia" w:ascii="宋体" w:hAnsi="宋体" w:eastAsia="宋体" w:cs="宋体"/>
          <w:color w:val="auto"/>
          <w:sz w:val="24"/>
          <w:szCs w:val="24"/>
        </w:rPr>
        <w:t>商业秘密或者</w:t>
      </w:r>
      <w:r>
        <w:rPr>
          <w:rFonts w:hint="eastAsia" w:ascii="宋体" w:hAnsi="宋体" w:eastAsia="宋体" w:cs="宋体"/>
          <w:color w:val="auto"/>
          <w:sz w:val="24"/>
          <w:szCs w:val="24"/>
          <w:lang w:eastAsia="zh-CN"/>
        </w:rPr>
        <w:t>其他应当保密的</w:t>
      </w:r>
      <w:r>
        <w:rPr>
          <w:rFonts w:hint="eastAsia" w:ascii="宋体" w:hAnsi="宋体" w:eastAsia="宋体" w:cs="宋体"/>
          <w:color w:val="auto"/>
          <w:sz w:val="24"/>
          <w:szCs w:val="24"/>
        </w:rPr>
        <w:t>信息，应当承担</w:t>
      </w:r>
      <w:r>
        <w:rPr>
          <w:rFonts w:hint="eastAsia" w:ascii="宋体" w:hAnsi="宋体" w:eastAsia="宋体" w:cs="宋体"/>
          <w:color w:val="auto"/>
          <w:sz w:val="24"/>
          <w:szCs w:val="24"/>
          <w:lang w:eastAsia="zh-CN"/>
        </w:rPr>
        <w:t>相应</w:t>
      </w:r>
      <w:r>
        <w:rPr>
          <w:rFonts w:hint="eastAsia" w:ascii="宋体" w:hAnsi="宋体" w:eastAsia="宋体" w:cs="宋体"/>
          <w:color w:val="auto"/>
          <w:sz w:val="24"/>
          <w:szCs w:val="24"/>
        </w:rPr>
        <w:t>责任。其他应当保密的信息由双方在</w:t>
      </w:r>
      <w:r>
        <w:rPr>
          <w:rFonts w:hint="eastAsia" w:ascii="宋体" w:hAnsi="宋体" w:eastAsia="宋体" w:cs="宋体"/>
          <w:b/>
          <w:bCs/>
          <w:color w:val="auto"/>
          <w:sz w:val="24"/>
          <w:szCs w:val="24"/>
        </w:rPr>
        <w:t>【政府采购合同专用条款】</w:t>
      </w:r>
      <w:r>
        <w:rPr>
          <w:rFonts w:hint="eastAsia" w:ascii="宋体" w:hAnsi="宋体" w:eastAsia="宋体" w:cs="宋体"/>
          <w:color w:val="auto"/>
          <w:sz w:val="24"/>
          <w:szCs w:val="24"/>
        </w:rPr>
        <w:t>中约定。</w:t>
      </w:r>
    </w:p>
    <w:p w14:paraId="3A64E2FF">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40819641">
      <w:pPr>
        <w:autoSpaceDE/>
        <w:autoSpaceDN/>
        <w:adjustRightInd w:val="0"/>
        <w:snapToGrid w:val="0"/>
        <w:spacing w:before="0"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5C5CCFE2">
      <w:pPr>
        <w:autoSpaceDE/>
        <w:autoSpaceDN/>
        <w:adjustRightInd w:val="0"/>
        <w:snapToGrid w:val="0"/>
        <w:spacing w:before="0"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12.2 </w:t>
      </w:r>
      <w:r>
        <w:rPr>
          <w:rFonts w:hint="eastAsia" w:ascii="宋体" w:hAnsi="宋体" w:eastAsia="宋体" w:cs="宋体"/>
          <w:color w:val="auto"/>
          <w:sz w:val="24"/>
          <w:szCs w:val="24"/>
          <w:highlight w:val="none"/>
        </w:rPr>
        <w:t>对于满足合同约定支付条件的，</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原则上应当自收到发票后10个工作日内将资金支付到合同约定的</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账户，不得以机构变动、人员更替、政策调整等为由迟延付款，不得将采购文件和合同中未规定的义务作为向</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付款的条件。具体合同价款支付时间在【政府采购合同专用条款】中</w:t>
      </w:r>
      <w:r>
        <w:rPr>
          <w:rFonts w:hint="eastAsia" w:ascii="宋体" w:hAnsi="宋体" w:eastAsia="宋体" w:cs="宋体"/>
          <w:color w:val="auto"/>
          <w:sz w:val="24"/>
          <w:szCs w:val="24"/>
          <w:highlight w:val="none"/>
          <w:lang w:eastAsia="zh-CN"/>
        </w:rPr>
        <w:t>约</w:t>
      </w:r>
      <w:r>
        <w:rPr>
          <w:rFonts w:hint="eastAsia" w:ascii="宋体" w:hAnsi="宋体" w:eastAsia="宋体" w:cs="宋体"/>
          <w:color w:val="auto"/>
          <w:sz w:val="24"/>
          <w:szCs w:val="24"/>
          <w:highlight w:val="none"/>
        </w:rPr>
        <w:t>定。</w:t>
      </w:r>
    </w:p>
    <w:p w14:paraId="5BAC64B7">
      <w:pPr>
        <w:pStyle w:val="8"/>
        <w:spacing w:after="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3492A">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rPr>
        <w:t>乙方应当以支票、汇票、本票或者金融机构、担保机构出具的保函等非现金形式提交。</w:t>
      </w:r>
    </w:p>
    <w:p w14:paraId="51E30416">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w:t>
      </w:r>
      <w:r>
        <w:rPr>
          <w:rFonts w:hint="eastAsia" w:ascii="宋体" w:hAnsi="宋体" w:eastAsia="宋体" w:cs="宋体"/>
          <w:b w:val="0"/>
          <w:bCs w:val="0"/>
          <w:color w:val="auto"/>
          <w:sz w:val="24"/>
          <w:szCs w:val="24"/>
          <w:lang w:eastAsia="zh-CN"/>
        </w:rPr>
        <w:t>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5002376B">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CD3B414">
      <w:pPr>
        <w:autoSpaceDE w:val="0"/>
        <w:autoSpaceDN w:val="0"/>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2E2C5F4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D9635E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31F9914E">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203B8EF5">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6CDB807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lang w:eastAsia="zh-CN"/>
        </w:rPr>
        <w:t>；</w:t>
      </w:r>
    </w:p>
    <w:p w14:paraId="07A755EF">
      <w:pPr>
        <w:pStyle w:val="5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（5）依照法律、行政法规的规定或者按照</w:t>
      </w:r>
      <w:r>
        <w:rPr>
          <w:rFonts w:hint="eastAsia" w:ascii="宋体" w:hAnsi="宋体" w:eastAsia="宋体" w:cs="宋体"/>
          <w:b/>
          <w:bCs/>
          <w:color w:val="auto"/>
          <w:sz w:val="24"/>
          <w:szCs w:val="24"/>
        </w:rPr>
        <w:t>【政府采购合同专用条款】</w:t>
      </w:r>
      <w:r>
        <w:rPr>
          <w:rFonts w:hint="eastAsia" w:ascii="宋体" w:hAnsi="宋体" w:eastAsia="宋体" w:cs="宋体"/>
          <w:color w:val="auto"/>
          <w:sz w:val="24"/>
          <w:szCs w:val="24"/>
        </w:rPr>
        <w:t>约定，货物在有效使用年限届满后应予回收的，乙方负有自行或者委托第三人对货物予以回收的义务；</w:t>
      </w:r>
    </w:p>
    <w:p w14:paraId="20C7C51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134FA149">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085065C0">
      <w:pPr>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50667E7C">
      <w:pPr>
        <w:adjustRightInd w:val="0"/>
        <w:snapToGrid w:val="0"/>
        <w:spacing w:before="0"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8338264">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416E94E">
      <w:pPr>
        <w:autoSpaceDE w:val="0"/>
        <w:autoSpaceDN w:val="0"/>
        <w:adjustRightInd w:val="0"/>
        <w:snapToGrid w:val="0"/>
        <w:spacing w:before="0"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42299FFF">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2AB345DB">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01893F9">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07BFD49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D815B87">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397B4CE6">
      <w:pPr>
        <w:numPr>
          <w:ilvl w:val="0"/>
          <w:numId w:val="13"/>
        </w:numPr>
        <w:autoSpaceDE w:val="0"/>
        <w:autoSpaceDN w:val="0"/>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73E7FDB">
      <w:pPr>
        <w:autoSpaceDE/>
        <w:autoSpaceDN/>
        <w:adjustRightInd w:val="0"/>
        <w:snapToGrid w:val="0"/>
        <w:spacing w:before="0"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7C6F6A19">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7A9E2788">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4052ECC5">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56F901F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w:t>
      </w:r>
      <w:r>
        <w:rPr>
          <w:rFonts w:hint="eastAsia" w:ascii="宋体" w:hAnsi="宋体" w:eastAsia="宋体" w:cs="宋体"/>
          <w:color w:val="auto"/>
          <w:sz w:val="24"/>
          <w:szCs w:val="24"/>
          <w:highlight w:val="none"/>
          <w:lang w:eastAsia="zh-CN"/>
        </w:rPr>
        <w:t>终止</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7ED1A8CF">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（3）乙方分立、合并或者变更住所的，应当及时以书面形式告知甲方。乙方没有</w:t>
      </w:r>
      <w:r>
        <w:rPr>
          <w:rFonts w:hint="eastAsia" w:ascii="宋体" w:hAnsi="宋体" w:eastAsia="宋体" w:cs="宋体"/>
          <w:color w:val="auto"/>
          <w:sz w:val="24"/>
          <w:szCs w:val="24"/>
          <w:lang w:eastAsia="zh-CN"/>
        </w:rPr>
        <w:t>及时告知</w:t>
      </w:r>
      <w:r>
        <w:rPr>
          <w:rFonts w:hint="eastAsia" w:ascii="宋体" w:hAnsi="宋体" w:eastAsia="宋体" w:cs="宋体"/>
          <w:color w:val="auto"/>
          <w:sz w:val="24"/>
          <w:szCs w:val="24"/>
        </w:rPr>
        <w:t>甲方，致使</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履行发生困难的，甲方可以中止合同履行并要求乙方承担由此给甲方造成的损失。</w:t>
      </w:r>
    </w:p>
    <w:p w14:paraId="64137243">
      <w:pPr>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w:t>
      </w:r>
      <w:r>
        <w:rPr>
          <w:rFonts w:hint="eastAsia" w:ascii="宋体" w:hAnsi="宋体" w:eastAsia="宋体" w:cs="宋体"/>
          <w:color w:val="auto"/>
          <w:sz w:val="24"/>
          <w:szCs w:val="24"/>
          <w:highlight w:val="none"/>
          <w:lang w:eastAsia="zh-CN"/>
        </w:rPr>
        <w:t>终止</w:t>
      </w:r>
      <w:r>
        <w:rPr>
          <w:rFonts w:hint="eastAsia" w:ascii="宋体" w:hAnsi="宋体" w:eastAsia="宋体" w:cs="宋体"/>
          <w:color w:val="auto"/>
          <w:sz w:val="24"/>
          <w:szCs w:val="24"/>
          <w:highlight w:val="none"/>
        </w:rPr>
        <w:t>合同。</w:t>
      </w:r>
    </w:p>
    <w:p w14:paraId="1C091897">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E66CF65">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248D05BB">
      <w:pPr>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并追究乙方的违约责</w:t>
      </w:r>
      <w:r>
        <w:rPr>
          <w:rFonts w:hint="eastAsia" w:ascii="宋体" w:hAnsi="宋体" w:eastAsia="宋体" w:cs="宋体"/>
          <w:color w:val="auto"/>
          <w:sz w:val="24"/>
          <w:szCs w:val="24"/>
          <w:lang w:val="en-US" w:eastAsia="zh-CN"/>
        </w:rPr>
        <w:t>任</w:t>
      </w:r>
      <w:r>
        <w:rPr>
          <w:rFonts w:hint="eastAsia" w:ascii="宋体" w:hAnsi="宋体" w:eastAsia="宋体" w:cs="宋体"/>
          <w:color w:val="auto"/>
          <w:sz w:val="24"/>
          <w:szCs w:val="24"/>
          <w:highlight w:val="none"/>
        </w:rPr>
        <w:t>。</w:t>
      </w:r>
    </w:p>
    <w:p w14:paraId="0F9E97C5">
      <w:pPr>
        <w:pStyle w:val="57"/>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4F38DDA6">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政府采购合同继续履行将损害国家利益和社会公共利益的，双方当事人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rPr>
        <w:t>中止</w:t>
      </w:r>
      <w:r>
        <w:rPr>
          <w:rFonts w:hint="eastAsia" w:ascii="宋体" w:hAnsi="宋体" w:eastAsia="宋体" w:cs="宋体"/>
          <w:color w:val="auto"/>
          <w:sz w:val="24"/>
          <w:szCs w:val="24"/>
          <w:lang w:eastAsia="zh-CN"/>
        </w:rPr>
        <w:t>或者终止</w:t>
      </w:r>
      <w:r>
        <w:rPr>
          <w:rFonts w:hint="eastAsia" w:ascii="宋体" w:hAnsi="宋体" w:eastAsia="宋体" w:cs="宋体"/>
          <w:color w:val="auto"/>
          <w:sz w:val="24"/>
          <w:szCs w:val="24"/>
        </w:rPr>
        <w:t>合同。有过错的一方应当承担赔偿责任，双方都有过错的，各自承担相应的责任。</w:t>
      </w:r>
    </w:p>
    <w:p w14:paraId="27B0CDE0">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54AE0538">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23E6663B">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420FE7EA">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7DF5009D">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0890816A">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3B5A304C">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343A6BCD">
      <w:pPr>
        <w:autoSpaceDE w:val="0"/>
        <w:autoSpaceDN w:val="0"/>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4FB7054B">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.1 因本合同及合同有关事项发生的争议，由</w:t>
      </w:r>
      <w:r>
        <w:rPr>
          <w:rFonts w:hint="eastAsia" w:ascii="宋体" w:hAnsi="宋体" w:eastAsia="宋体" w:cs="宋体"/>
          <w:color w:val="auto"/>
          <w:sz w:val="24"/>
          <w:szCs w:val="24"/>
          <w:lang w:eastAsia="zh-CN"/>
        </w:rPr>
        <w:t>甲乙双</w:t>
      </w:r>
      <w:r>
        <w:rPr>
          <w:rFonts w:hint="eastAsia" w:ascii="宋体" w:hAnsi="宋体" w:eastAsia="宋体" w:cs="宋体"/>
          <w:color w:val="auto"/>
          <w:sz w:val="24"/>
          <w:szCs w:val="24"/>
        </w:rPr>
        <w:t>方友好协商解决。协商不成时，可以</w:t>
      </w:r>
      <w:r>
        <w:rPr>
          <w:rFonts w:hint="eastAsia" w:ascii="宋体" w:hAnsi="宋体" w:eastAsia="宋体" w:cs="宋体"/>
          <w:color w:val="auto"/>
          <w:sz w:val="24"/>
          <w:szCs w:val="24"/>
          <w:lang w:eastAsia="zh-CN"/>
        </w:rPr>
        <w:t>向有关组织申请</w:t>
      </w:r>
      <w:r>
        <w:rPr>
          <w:rFonts w:hint="eastAsia" w:ascii="宋体" w:hAnsi="宋体" w:eastAsia="宋体" w:cs="宋体"/>
          <w:color w:val="auto"/>
          <w:sz w:val="24"/>
          <w:szCs w:val="24"/>
        </w:rPr>
        <w:t>调解。合同一方或</w:t>
      </w:r>
      <w:r>
        <w:rPr>
          <w:rFonts w:hint="eastAsia" w:ascii="宋体" w:hAnsi="宋体" w:eastAsia="宋体" w:cs="宋体"/>
          <w:color w:val="auto"/>
          <w:sz w:val="24"/>
          <w:szCs w:val="24"/>
          <w:lang w:eastAsia="zh-CN"/>
        </w:rPr>
        <w:t>双</w:t>
      </w:r>
      <w:r>
        <w:rPr>
          <w:rFonts w:hint="eastAsia" w:ascii="宋体" w:hAnsi="宋体" w:eastAsia="宋体" w:cs="宋体"/>
          <w:color w:val="auto"/>
          <w:sz w:val="24"/>
          <w:szCs w:val="24"/>
        </w:rPr>
        <w:t>方不愿调解或调解不成的，可以通过仲裁或诉讼的方式解决争议。</w:t>
      </w:r>
    </w:p>
    <w:p w14:paraId="0B83A358">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rPr>
        <w:t>中进一步约定选择与争议有实际联系的地点的人民法院管辖，但管辖法院的约定不得违反级别管辖和专属管辖的规定。</w:t>
      </w:r>
    </w:p>
    <w:p w14:paraId="71618885">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.3 如</w:t>
      </w:r>
      <w:r>
        <w:rPr>
          <w:rFonts w:hint="eastAsia" w:ascii="宋体" w:hAnsi="宋体" w:eastAsia="宋体" w:cs="宋体"/>
          <w:color w:val="auto"/>
          <w:sz w:val="24"/>
          <w:szCs w:val="24"/>
          <w:lang w:eastAsia="zh-CN"/>
        </w:rPr>
        <w:t>甲乙双方</w:t>
      </w:r>
      <w:r>
        <w:rPr>
          <w:rFonts w:hint="eastAsia" w:ascii="宋体" w:hAnsi="宋体" w:eastAsia="宋体" w:cs="宋体"/>
          <w:color w:val="auto"/>
          <w:sz w:val="24"/>
          <w:szCs w:val="24"/>
        </w:rPr>
        <w:t>有争议的事项不影响合同其他部分的履行，在争议解决期间，合同其他部分应</w:t>
      </w:r>
      <w:r>
        <w:rPr>
          <w:rFonts w:hint="eastAsia" w:ascii="宋体" w:hAnsi="宋体" w:eastAsia="宋体" w:cs="宋体"/>
          <w:color w:val="auto"/>
          <w:sz w:val="24"/>
          <w:szCs w:val="24"/>
          <w:lang w:eastAsia="zh-CN"/>
        </w:rPr>
        <w:t>当</w:t>
      </w:r>
      <w:r>
        <w:rPr>
          <w:rFonts w:hint="eastAsia" w:ascii="宋体" w:hAnsi="宋体" w:eastAsia="宋体" w:cs="宋体"/>
          <w:color w:val="auto"/>
          <w:sz w:val="24"/>
          <w:szCs w:val="24"/>
        </w:rPr>
        <w:t>继续履行。</w:t>
      </w:r>
    </w:p>
    <w:p w14:paraId="2682E764">
      <w:pPr>
        <w:autoSpaceDE w:val="0"/>
        <w:autoSpaceDN w:val="0"/>
        <w:adjustRightInd w:val="0"/>
        <w:snapToGrid w:val="0"/>
        <w:spacing w:before="0"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F1FB096">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lang w:val="en-GB"/>
        </w:rPr>
        <w:t>本合同应当按照规定执行政府采购政策。</w:t>
      </w:r>
    </w:p>
    <w:p w14:paraId="1EF1B4F3">
      <w:pPr>
        <w:autoSpaceDE w:val="0"/>
        <w:autoSpaceDN w:val="0"/>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color w:val="auto"/>
          <w:sz w:val="24"/>
          <w:szCs w:val="24"/>
          <w:lang w:eastAsia="zh-CN"/>
        </w:rPr>
        <w:t>甲乙双方</w:t>
      </w:r>
      <w:r>
        <w:rPr>
          <w:rFonts w:hint="eastAsia" w:ascii="宋体" w:hAnsi="宋体" w:eastAsia="宋体" w:cs="宋体"/>
          <w:color w:val="auto"/>
          <w:sz w:val="24"/>
          <w:szCs w:val="24"/>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11004BB0">
      <w:pPr>
        <w:pStyle w:val="8"/>
        <w:spacing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D239F13">
      <w:pPr>
        <w:autoSpaceDE w:val="0"/>
        <w:autoSpaceDN w:val="0"/>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7FAFED23">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.1 本合同的订立、生效、解释、履行及与本合同有关的争议解决，均适用法律、行政法规。</w:t>
      </w:r>
    </w:p>
    <w:p w14:paraId="4CD46A47">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.2 本合同条款与法律、行政法规的强制性规定不一致的，双方当事人应按照法律、行政法规的强制性规定修改本合同的相关条款。</w:t>
      </w:r>
    </w:p>
    <w:p w14:paraId="38DFE187">
      <w:pPr>
        <w:numPr>
          <w:ilvl w:val="0"/>
          <w:numId w:val="0"/>
        </w:numPr>
        <w:autoSpaceDE w:val="0"/>
        <w:autoSpaceDN w:val="0"/>
        <w:adjustRightInd w:val="0"/>
        <w:snapToGrid w:val="0"/>
        <w:spacing w:before="0"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3695B79C">
      <w:pPr>
        <w:pStyle w:val="57"/>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本合同任何一方向对方发出的通知、信件、数据电文等，应当发送至本合同第一部分《政府采购合同协议书》所约定的通讯地址、联系人、联系电话或电子邮箱。</w:t>
      </w:r>
    </w:p>
    <w:p w14:paraId="56EAE5E0">
      <w:pPr>
        <w:pStyle w:val="57"/>
        <w:spacing w:line="360" w:lineRule="auto"/>
        <w:ind w:firstLine="0" w:firstLineChars="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一方当事人变更名称、</w:t>
      </w:r>
      <w:r>
        <w:rPr>
          <w:rFonts w:hint="eastAsia" w:ascii="宋体" w:hAnsi="宋体" w:eastAsia="宋体" w:cs="宋体"/>
          <w:color w:val="auto"/>
          <w:sz w:val="24"/>
          <w:szCs w:val="24"/>
          <w:lang w:eastAsia="zh-CN"/>
        </w:rPr>
        <w:t>住所</w:t>
      </w:r>
      <w:r>
        <w:rPr>
          <w:rFonts w:hint="eastAsia" w:ascii="宋体" w:hAnsi="宋体" w:eastAsia="宋体" w:cs="宋体"/>
          <w:color w:val="auto"/>
          <w:sz w:val="24"/>
          <w:szCs w:val="24"/>
        </w:rPr>
        <w:t>、联系人、联系电话或电子邮箱</w:t>
      </w:r>
      <w:r>
        <w:rPr>
          <w:rFonts w:hint="eastAsia" w:ascii="宋体" w:hAnsi="宋体" w:eastAsia="宋体" w:cs="宋体"/>
          <w:color w:val="auto"/>
          <w:sz w:val="24"/>
          <w:szCs w:val="24"/>
          <w:lang w:eastAsia="zh-CN"/>
        </w:rPr>
        <w:t>等信息</w:t>
      </w:r>
      <w:r>
        <w:rPr>
          <w:rFonts w:hint="eastAsia" w:ascii="宋体" w:hAnsi="宋体" w:eastAsia="宋体" w:cs="宋体"/>
          <w:color w:val="auto"/>
          <w:sz w:val="24"/>
          <w:szCs w:val="24"/>
        </w:rPr>
        <w:t>的，应当在变更后3日内及时书面通知对方，对方实际收到变更通知前的送达仍为有效送达。</w:t>
      </w:r>
    </w:p>
    <w:p w14:paraId="090812A3">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16EF2F3B">
      <w:pPr>
        <w:adjustRightInd w:val="0"/>
        <w:snapToGrid w:val="0"/>
        <w:spacing w:before="0"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48289305">
      <w:pPr>
        <w:numPr>
          <w:ilvl w:val="0"/>
          <w:numId w:val="14"/>
        </w:numPr>
        <w:adjustRightInd w:val="0"/>
        <w:snapToGrid w:val="0"/>
        <w:spacing w:before="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70D6953B">
      <w:pPr>
        <w:adjustRightInd w:val="0"/>
        <w:snapToGrid w:val="0"/>
        <w:spacing w:before="0"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43546D01">
      <w:pPr>
        <w:adjustRightInd w:val="0"/>
        <w:snapToGrid w:val="0"/>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102" w:name="_Toc20313"/>
    </w:p>
    <w:p w14:paraId="270D4570">
      <w:pPr>
        <w:adjustRightInd w:val="0"/>
        <w:snapToGrid w:val="0"/>
        <w:jc w:val="center"/>
        <w:rPr>
          <w:rFonts w:hint="eastAsia" w:ascii="宋体" w:hAnsi="宋体" w:eastAsia="宋体" w:cs="宋体"/>
          <w:b/>
          <w:bCs/>
          <w:color w:val="auto"/>
          <w:sz w:val="28"/>
          <w:szCs w:val="28"/>
        </w:rPr>
      </w:pPr>
      <w:r>
        <w:rPr>
          <w:rFonts w:hint="eastAsia" w:ascii="宋体" w:hAnsi="宋体" w:eastAsia="宋体" w:cs="宋体"/>
          <w:b w:val="0"/>
          <w:bCs w:val="0"/>
          <w:color w:val="auto"/>
          <w:sz w:val="28"/>
          <w:szCs w:val="28"/>
        </w:rPr>
        <w:br w:type="page"/>
      </w:r>
      <w:bookmarkStart w:id="103" w:name="_Toc11272"/>
      <w:bookmarkStart w:id="104" w:name="_Toc11600"/>
      <w:r>
        <w:rPr>
          <w:rFonts w:hint="eastAsia" w:ascii="宋体" w:hAnsi="宋体" w:eastAsia="宋体" w:cs="宋体"/>
          <w:b/>
          <w:bCs/>
          <w:color w:val="auto"/>
          <w:sz w:val="28"/>
          <w:szCs w:val="28"/>
        </w:rPr>
        <w:t>第三节 政府采购合同专用条款</w:t>
      </w:r>
      <w:bookmarkEnd w:id="102"/>
      <w:bookmarkEnd w:id="103"/>
      <w:bookmarkEnd w:id="104"/>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6FE59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1BFC8DB">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47F2171C">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第1.2（</w:t>
            </w:r>
            <w:r>
              <w:rPr>
                <w:rFonts w:hint="eastAsia" w:ascii="宋体" w:hAnsi="宋体" w:eastAsia="宋体" w:cs="宋体"/>
                <w:color w:val="auto"/>
                <w:szCs w:val="21"/>
                <w:lang w:val="en-US" w:eastAsia="zh-CN"/>
              </w:rPr>
              <w:t>6</w:t>
            </w:r>
            <w:r>
              <w:rPr>
                <w:rFonts w:hint="eastAsia" w:ascii="宋体" w:hAnsi="宋体" w:eastAsia="宋体" w:cs="宋体"/>
                <w:color w:val="auto"/>
                <w:szCs w:val="21"/>
              </w:rPr>
              <w:t>）项</w:t>
            </w:r>
          </w:p>
        </w:tc>
        <w:tc>
          <w:tcPr>
            <w:tcW w:w="1742" w:type="dxa"/>
            <w:noWrap w:val="0"/>
            <w:vAlign w:val="center"/>
          </w:tcPr>
          <w:p w14:paraId="4B835C4D">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lang w:eastAsia="zh-CN"/>
              </w:rPr>
              <w:t>联合体具体要求</w:t>
            </w:r>
          </w:p>
        </w:tc>
        <w:tc>
          <w:tcPr>
            <w:tcW w:w="5170" w:type="dxa"/>
            <w:noWrap w:val="0"/>
            <w:vAlign w:val="center"/>
          </w:tcPr>
          <w:p w14:paraId="2D60B137">
            <w:pPr>
              <w:adjustRightInd w:val="0"/>
              <w:snapToGrid w:val="0"/>
              <w:jc w:val="left"/>
              <w:rPr>
                <w:rFonts w:hint="eastAsia" w:ascii="宋体" w:hAnsi="宋体" w:eastAsia="宋体" w:cs="宋体"/>
                <w:color w:val="auto"/>
                <w:szCs w:val="21"/>
              </w:rPr>
            </w:pPr>
          </w:p>
        </w:tc>
      </w:tr>
      <w:tr w14:paraId="1E8DAB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596AB2BB">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2FD02B72">
            <w:pPr>
              <w:adjustRightInd w:val="0"/>
              <w:snapToGrid w:val="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第1.2（</w:t>
            </w:r>
            <w:r>
              <w:rPr>
                <w:rFonts w:hint="eastAsia" w:ascii="宋体" w:hAnsi="宋体" w:eastAsia="宋体" w:cs="宋体"/>
                <w:color w:val="auto"/>
                <w:szCs w:val="21"/>
                <w:lang w:val="en-US" w:eastAsia="zh-CN"/>
              </w:rPr>
              <w:t>7</w:t>
            </w:r>
            <w:r>
              <w:rPr>
                <w:rFonts w:hint="eastAsia" w:ascii="宋体" w:hAnsi="宋体" w:eastAsia="宋体" w:cs="宋体"/>
                <w:color w:val="auto"/>
                <w:szCs w:val="21"/>
              </w:rPr>
              <w:t>）项</w:t>
            </w:r>
          </w:p>
        </w:tc>
        <w:tc>
          <w:tcPr>
            <w:tcW w:w="1742" w:type="dxa"/>
            <w:noWrap w:val="0"/>
            <w:vAlign w:val="center"/>
          </w:tcPr>
          <w:p w14:paraId="6141F74B">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其他术语解释</w:t>
            </w:r>
          </w:p>
        </w:tc>
        <w:tc>
          <w:tcPr>
            <w:tcW w:w="5170" w:type="dxa"/>
            <w:noWrap w:val="0"/>
            <w:vAlign w:val="center"/>
          </w:tcPr>
          <w:p w14:paraId="5A0CA0FE">
            <w:pPr>
              <w:adjustRightInd w:val="0"/>
              <w:snapToGrid w:val="0"/>
              <w:jc w:val="left"/>
              <w:rPr>
                <w:rFonts w:hint="eastAsia" w:ascii="宋体" w:hAnsi="宋体" w:eastAsia="宋体" w:cs="宋体"/>
                <w:color w:val="auto"/>
                <w:kern w:val="2"/>
                <w:sz w:val="21"/>
                <w:szCs w:val="21"/>
                <w:lang w:val="en-US" w:eastAsia="zh-CN" w:bidi="ar-SA"/>
              </w:rPr>
            </w:pPr>
          </w:p>
        </w:tc>
      </w:tr>
      <w:tr w14:paraId="127981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4245D7C">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22BB5054">
            <w:pPr>
              <w:adjustRightInd w:val="0"/>
              <w:snapToGrid w:val="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第</w:t>
            </w:r>
            <w:r>
              <w:rPr>
                <w:rFonts w:hint="eastAsia" w:ascii="宋体" w:hAnsi="宋体" w:eastAsia="宋体" w:cs="宋体"/>
                <w:color w:val="auto"/>
                <w:szCs w:val="21"/>
                <w:lang w:val="en-US" w:eastAsia="zh-CN"/>
              </w:rPr>
              <w:t>4.4款</w:t>
            </w:r>
          </w:p>
        </w:tc>
        <w:tc>
          <w:tcPr>
            <w:tcW w:w="1742" w:type="dxa"/>
            <w:noWrap w:val="0"/>
            <w:vAlign w:val="center"/>
          </w:tcPr>
          <w:p w14:paraId="6913E4C6">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履约验收中甲方提出异议或作出说明的期限</w:t>
            </w:r>
          </w:p>
        </w:tc>
        <w:tc>
          <w:tcPr>
            <w:tcW w:w="5170" w:type="dxa"/>
            <w:noWrap w:val="0"/>
            <w:vAlign w:val="center"/>
          </w:tcPr>
          <w:p w14:paraId="67E64EFB">
            <w:pPr>
              <w:adjustRightInd w:val="0"/>
              <w:snapToGrid w:val="0"/>
              <w:jc w:val="left"/>
              <w:rPr>
                <w:rFonts w:hint="eastAsia" w:ascii="宋体" w:hAnsi="宋体" w:eastAsia="宋体" w:cs="宋体"/>
                <w:color w:val="auto"/>
                <w:kern w:val="2"/>
                <w:sz w:val="21"/>
                <w:szCs w:val="21"/>
                <w:lang w:val="en-US" w:eastAsia="zh-CN" w:bidi="ar-SA"/>
              </w:rPr>
            </w:pPr>
          </w:p>
        </w:tc>
      </w:tr>
      <w:tr w14:paraId="14F6A8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EC893B4">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00AE8A3A">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lang w:eastAsia="zh-CN"/>
              </w:rPr>
              <w:t>第</w:t>
            </w:r>
            <w:r>
              <w:rPr>
                <w:rFonts w:hint="eastAsia" w:ascii="宋体" w:hAnsi="宋体" w:eastAsia="宋体" w:cs="宋体"/>
                <w:color w:val="auto"/>
                <w:szCs w:val="21"/>
                <w:lang w:val="en-US" w:eastAsia="zh-CN"/>
              </w:rPr>
              <w:t>4.6款</w:t>
            </w:r>
          </w:p>
        </w:tc>
        <w:tc>
          <w:tcPr>
            <w:tcW w:w="1742" w:type="dxa"/>
            <w:noWrap w:val="0"/>
            <w:vAlign w:val="center"/>
          </w:tcPr>
          <w:p w14:paraId="3EC34305">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约定甲方承担的其他义务和责任</w:t>
            </w:r>
          </w:p>
        </w:tc>
        <w:tc>
          <w:tcPr>
            <w:tcW w:w="5170" w:type="dxa"/>
            <w:noWrap w:val="0"/>
            <w:vAlign w:val="center"/>
          </w:tcPr>
          <w:p w14:paraId="4897B93F">
            <w:pPr>
              <w:adjustRightInd w:val="0"/>
              <w:snapToGrid w:val="0"/>
              <w:jc w:val="left"/>
              <w:rPr>
                <w:rFonts w:hint="eastAsia" w:ascii="宋体" w:hAnsi="宋体" w:eastAsia="宋体" w:cs="宋体"/>
                <w:color w:val="auto"/>
                <w:kern w:val="2"/>
                <w:sz w:val="21"/>
                <w:szCs w:val="21"/>
                <w:lang w:val="en-US" w:eastAsia="zh-CN" w:bidi="ar-SA"/>
              </w:rPr>
            </w:pPr>
          </w:p>
        </w:tc>
      </w:tr>
      <w:tr w14:paraId="0E8BD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A89A985">
            <w:pPr>
              <w:adjustRightInd w:val="0"/>
              <w:snapToGrid w:val="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第二节</w:t>
            </w:r>
          </w:p>
          <w:p w14:paraId="1A3D6017">
            <w:pPr>
              <w:snapToGrid w:val="0"/>
              <w:jc w:val="center"/>
              <w:rPr>
                <w:rFonts w:hint="eastAsia" w:ascii="宋体" w:hAnsi="宋体" w:eastAsia="宋体" w:cs="宋体"/>
                <w:color w:val="auto"/>
                <w:lang w:val="en-US" w:eastAsia="zh-CN"/>
              </w:rPr>
            </w:pPr>
            <w:r>
              <w:rPr>
                <w:rFonts w:hint="eastAsia" w:ascii="宋体" w:hAnsi="宋体" w:eastAsia="宋体" w:cs="宋体"/>
                <w:color w:val="auto"/>
                <w:szCs w:val="21"/>
                <w:lang w:eastAsia="zh-CN"/>
              </w:rPr>
              <w:t>第</w:t>
            </w:r>
            <w:r>
              <w:rPr>
                <w:rFonts w:hint="eastAsia" w:ascii="宋体" w:hAnsi="宋体" w:eastAsia="宋体" w:cs="宋体"/>
                <w:color w:val="auto"/>
                <w:szCs w:val="21"/>
                <w:lang w:val="en-US" w:eastAsia="zh-CN"/>
              </w:rPr>
              <w:t>5.4款</w:t>
            </w:r>
          </w:p>
        </w:tc>
        <w:tc>
          <w:tcPr>
            <w:tcW w:w="1742" w:type="dxa"/>
            <w:noWrap w:val="0"/>
            <w:vAlign w:val="center"/>
          </w:tcPr>
          <w:p w14:paraId="21842A5F">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约定乙方承担的其他义务和责任</w:t>
            </w:r>
          </w:p>
        </w:tc>
        <w:tc>
          <w:tcPr>
            <w:tcW w:w="5170" w:type="dxa"/>
            <w:noWrap w:val="0"/>
            <w:vAlign w:val="center"/>
          </w:tcPr>
          <w:p w14:paraId="6A17FB2C">
            <w:pPr>
              <w:adjustRightInd w:val="0"/>
              <w:snapToGrid w:val="0"/>
              <w:jc w:val="left"/>
              <w:rPr>
                <w:rFonts w:hint="eastAsia" w:ascii="宋体" w:hAnsi="宋体" w:eastAsia="宋体" w:cs="宋体"/>
                <w:color w:val="auto"/>
                <w:kern w:val="2"/>
                <w:sz w:val="21"/>
                <w:szCs w:val="21"/>
                <w:lang w:val="en-US" w:eastAsia="zh-CN" w:bidi="ar-SA"/>
              </w:rPr>
            </w:pPr>
          </w:p>
        </w:tc>
      </w:tr>
      <w:tr w14:paraId="540C9A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A6A3CF1">
            <w:pPr>
              <w:adjustRightInd w:val="0"/>
              <w:snapToGrid w:val="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第二节</w:t>
            </w:r>
          </w:p>
          <w:p w14:paraId="754D69EF">
            <w:pPr>
              <w:snapToGrid w:val="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第</w:t>
            </w:r>
            <w:r>
              <w:rPr>
                <w:rFonts w:hint="eastAsia" w:ascii="宋体" w:hAnsi="宋体" w:eastAsia="宋体" w:cs="宋体"/>
                <w:color w:val="auto"/>
                <w:szCs w:val="21"/>
                <w:lang w:val="en-US" w:eastAsia="zh-CN"/>
              </w:rPr>
              <w:t>6.1款</w:t>
            </w:r>
          </w:p>
        </w:tc>
        <w:tc>
          <w:tcPr>
            <w:tcW w:w="1742" w:type="dxa"/>
            <w:noWrap w:val="0"/>
            <w:vAlign w:val="center"/>
          </w:tcPr>
          <w:p w14:paraId="7B5F3986">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履行合同义务的顺序</w:t>
            </w:r>
          </w:p>
        </w:tc>
        <w:tc>
          <w:tcPr>
            <w:tcW w:w="5170" w:type="dxa"/>
            <w:noWrap w:val="0"/>
            <w:vAlign w:val="center"/>
          </w:tcPr>
          <w:p w14:paraId="74B52443">
            <w:pPr>
              <w:adjustRightInd w:val="0"/>
              <w:snapToGrid w:val="0"/>
              <w:jc w:val="left"/>
              <w:rPr>
                <w:rFonts w:hint="eastAsia" w:ascii="宋体" w:hAnsi="宋体" w:eastAsia="宋体" w:cs="宋体"/>
                <w:color w:val="auto"/>
                <w:kern w:val="2"/>
                <w:sz w:val="21"/>
                <w:szCs w:val="21"/>
                <w:lang w:val="en-US" w:eastAsia="zh-CN" w:bidi="ar-SA"/>
              </w:rPr>
            </w:pPr>
          </w:p>
        </w:tc>
      </w:tr>
      <w:tr w14:paraId="7FE621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4365871F">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4FE0F51A">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7</w:t>
            </w:r>
            <w:r>
              <w:rPr>
                <w:rFonts w:hint="eastAsia" w:ascii="宋体" w:hAnsi="宋体" w:eastAsia="宋体" w:cs="宋体"/>
                <w:color w:val="auto"/>
                <w:szCs w:val="21"/>
              </w:rPr>
              <w:t>.1</w:t>
            </w:r>
            <w:r>
              <w:rPr>
                <w:rFonts w:hint="eastAsia" w:ascii="宋体" w:hAnsi="宋体" w:eastAsia="宋体" w:cs="宋体"/>
                <w:color w:val="auto"/>
                <w:szCs w:val="21"/>
                <w:lang w:val="en-US" w:eastAsia="zh-CN"/>
              </w:rPr>
              <w:t>款</w:t>
            </w:r>
          </w:p>
        </w:tc>
        <w:tc>
          <w:tcPr>
            <w:tcW w:w="1742" w:type="dxa"/>
            <w:noWrap w:val="0"/>
            <w:vAlign w:val="center"/>
          </w:tcPr>
          <w:p w14:paraId="0FD788CD">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包装</w:t>
            </w:r>
            <w:r>
              <w:rPr>
                <w:rFonts w:hint="eastAsia" w:ascii="宋体" w:hAnsi="宋体" w:eastAsia="宋体" w:cs="宋体"/>
                <w:color w:val="auto"/>
                <w:szCs w:val="21"/>
                <w:lang w:eastAsia="zh-CN"/>
              </w:rPr>
              <w:t>特殊要求</w:t>
            </w:r>
          </w:p>
        </w:tc>
        <w:tc>
          <w:tcPr>
            <w:tcW w:w="5170" w:type="dxa"/>
            <w:noWrap w:val="0"/>
            <w:vAlign w:val="center"/>
          </w:tcPr>
          <w:p w14:paraId="7D21BB6B">
            <w:pPr>
              <w:rPr>
                <w:rFonts w:hint="eastAsia" w:ascii="宋体" w:hAnsi="宋体" w:eastAsia="宋体" w:cs="宋体"/>
                <w:color w:val="auto"/>
              </w:rPr>
            </w:pPr>
          </w:p>
        </w:tc>
      </w:tr>
      <w:tr w14:paraId="20579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5450ECEC">
            <w:pPr>
              <w:adjustRightInd w:val="0"/>
              <w:snapToGrid w:val="0"/>
              <w:jc w:val="center"/>
              <w:rPr>
                <w:rFonts w:hint="eastAsia" w:ascii="宋体" w:hAnsi="宋体" w:eastAsia="宋体" w:cs="宋体"/>
                <w:color w:val="auto"/>
                <w:szCs w:val="21"/>
              </w:rPr>
            </w:pPr>
          </w:p>
        </w:tc>
        <w:tc>
          <w:tcPr>
            <w:tcW w:w="1742" w:type="dxa"/>
            <w:noWrap w:val="0"/>
            <w:vAlign w:val="center"/>
          </w:tcPr>
          <w:p w14:paraId="4559E315">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指定现场</w:t>
            </w:r>
          </w:p>
        </w:tc>
        <w:tc>
          <w:tcPr>
            <w:tcW w:w="5170" w:type="dxa"/>
            <w:noWrap w:val="0"/>
            <w:vAlign w:val="center"/>
          </w:tcPr>
          <w:p w14:paraId="1DFEC620">
            <w:pPr>
              <w:rPr>
                <w:rFonts w:hint="eastAsia" w:ascii="宋体" w:hAnsi="宋体" w:eastAsia="宋体" w:cs="宋体"/>
                <w:color w:val="auto"/>
              </w:rPr>
            </w:pPr>
          </w:p>
        </w:tc>
      </w:tr>
      <w:tr w14:paraId="3436A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67EEA61D">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727AB4BE">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7</w:t>
            </w:r>
            <w:r>
              <w:rPr>
                <w:rFonts w:hint="eastAsia" w:ascii="宋体" w:hAnsi="宋体" w:eastAsia="宋体" w:cs="宋体"/>
                <w:color w:val="auto"/>
                <w:szCs w:val="21"/>
              </w:rPr>
              <w:t>.2</w:t>
            </w:r>
            <w:r>
              <w:rPr>
                <w:rFonts w:hint="eastAsia" w:ascii="宋体" w:hAnsi="宋体" w:eastAsia="宋体" w:cs="宋体"/>
                <w:color w:val="auto"/>
                <w:szCs w:val="21"/>
                <w:lang w:val="en-US" w:eastAsia="zh-CN"/>
              </w:rPr>
              <w:t>款</w:t>
            </w:r>
          </w:p>
        </w:tc>
        <w:tc>
          <w:tcPr>
            <w:tcW w:w="1742" w:type="dxa"/>
            <w:noWrap w:val="0"/>
            <w:vAlign w:val="center"/>
          </w:tcPr>
          <w:p w14:paraId="3A1E5E21">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运输特殊要求</w:t>
            </w:r>
          </w:p>
        </w:tc>
        <w:tc>
          <w:tcPr>
            <w:tcW w:w="5170" w:type="dxa"/>
            <w:noWrap w:val="0"/>
            <w:vAlign w:val="center"/>
          </w:tcPr>
          <w:p w14:paraId="02764FB7">
            <w:pPr>
              <w:rPr>
                <w:rFonts w:hint="eastAsia" w:ascii="宋体" w:hAnsi="宋体" w:eastAsia="宋体" w:cs="宋体"/>
                <w:color w:val="auto"/>
              </w:rPr>
            </w:pPr>
          </w:p>
        </w:tc>
      </w:tr>
      <w:tr w14:paraId="764C1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23953AFC">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67BDCA4B">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7</w:t>
            </w:r>
            <w:r>
              <w:rPr>
                <w:rFonts w:hint="eastAsia" w:ascii="宋体" w:hAnsi="宋体" w:eastAsia="宋体" w:cs="宋体"/>
                <w:color w:val="auto"/>
                <w:szCs w:val="21"/>
              </w:rPr>
              <w:t>.3</w:t>
            </w:r>
            <w:r>
              <w:rPr>
                <w:rFonts w:hint="eastAsia" w:ascii="宋体" w:hAnsi="宋体" w:eastAsia="宋体" w:cs="宋体"/>
                <w:color w:val="auto"/>
                <w:szCs w:val="21"/>
                <w:lang w:val="en-US" w:eastAsia="zh-CN"/>
              </w:rPr>
              <w:t>款</w:t>
            </w:r>
          </w:p>
        </w:tc>
        <w:tc>
          <w:tcPr>
            <w:tcW w:w="1742" w:type="dxa"/>
            <w:noWrap w:val="0"/>
            <w:vAlign w:val="center"/>
          </w:tcPr>
          <w:p w14:paraId="400CC145">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保险要求</w:t>
            </w:r>
          </w:p>
        </w:tc>
        <w:tc>
          <w:tcPr>
            <w:tcW w:w="5170" w:type="dxa"/>
            <w:noWrap w:val="0"/>
            <w:vAlign w:val="center"/>
          </w:tcPr>
          <w:p w14:paraId="34A3200D">
            <w:pPr>
              <w:rPr>
                <w:rFonts w:hint="eastAsia" w:ascii="宋体" w:hAnsi="宋体" w:eastAsia="宋体" w:cs="宋体"/>
                <w:color w:val="auto"/>
              </w:rPr>
            </w:pPr>
          </w:p>
        </w:tc>
      </w:tr>
      <w:tr w14:paraId="77B4B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12FA87F">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65C83DEF">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8</w:t>
            </w:r>
            <w:r>
              <w:rPr>
                <w:rFonts w:hint="eastAsia" w:ascii="宋体" w:hAnsi="宋体" w:eastAsia="宋体" w:cs="宋体"/>
                <w:color w:val="auto"/>
                <w:szCs w:val="21"/>
              </w:rPr>
              <w:t>.2（1）项</w:t>
            </w:r>
          </w:p>
        </w:tc>
        <w:tc>
          <w:tcPr>
            <w:tcW w:w="1742" w:type="dxa"/>
            <w:noWrap w:val="0"/>
            <w:vAlign w:val="center"/>
          </w:tcPr>
          <w:p w14:paraId="798D7B5D">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质量保证期</w:t>
            </w:r>
          </w:p>
        </w:tc>
        <w:tc>
          <w:tcPr>
            <w:tcW w:w="5170" w:type="dxa"/>
            <w:noWrap w:val="0"/>
            <w:vAlign w:val="center"/>
          </w:tcPr>
          <w:p w14:paraId="494C1FF9">
            <w:pPr>
              <w:autoSpaceDE w:val="0"/>
              <w:autoSpaceDN w:val="0"/>
              <w:adjustRightInd w:val="0"/>
              <w:snapToGrid w:val="0"/>
              <w:ind w:firstLine="420" w:firstLineChars="200"/>
              <w:jc w:val="left"/>
              <w:rPr>
                <w:rFonts w:hint="eastAsia" w:ascii="宋体" w:hAnsi="宋体" w:eastAsia="宋体" w:cs="宋体"/>
                <w:color w:val="auto"/>
                <w:szCs w:val="21"/>
              </w:rPr>
            </w:pPr>
          </w:p>
        </w:tc>
      </w:tr>
      <w:tr w14:paraId="3738E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9B6CE98">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5C9ADB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8</w:t>
            </w:r>
            <w:r>
              <w:rPr>
                <w:rFonts w:hint="eastAsia" w:ascii="宋体" w:hAnsi="宋体" w:eastAsia="宋体" w:cs="宋体"/>
                <w:color w:val="auto"/>
                <w:szCs w:val="21"/>
              </w:rPr>
              <w:t>.2（3）项</w:t>
            </w:r>
          </w:p>
        </w:tc>
        <w:tc>
          <w:tcPr>
            <w:tcW w:w="1742" w:type="dxa"/>
            <w:noWrap w:val="0"/>
            <w:vAlign w:val="center"/>
          </w:tcPr>
          <w:p w14:paraId="1310A6EB">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货物质量缺陷</w:t>
            </w:r>
          </w:p>
          <w:p w14:paraId="5B25F1B4">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响应时间</w:t>
            </w:r>
          </w:p>
        </w:tc>
        <w:tc>
          <w:tcPr>
            <w:tcW w:w="5170" w:type="dxa"/>
            <w:noWrap w:val="0"/>
            <w:vAlign w:val="center"/>
          </w:tcPr>
          <w:p w14:paraId="1D2A2766">
            <w:pPr>
              <w:adjustRightInd w:val="0"/>
              <w:snapToGrid w:val="0"/>
              <w:jc w:val="left"/>
              <w:rPr>
                <w:rFonts w:hint="eastAsia" w:ascii="宋体" w:hAnsi="宋体" w:eastAsia="宋体" w:cs="宋体"/>
                <w:color w:val="auto"/>
                <w:szCs w:val="21"/>
              </w:rPr>
            </w:pPr>
          </w:p>
        </w:tc>
      </w:tr>
      <w:tr w14:paraId="641AB4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B3A555B">
            <w:pPr>
              <w:snapToGrid w:val="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第二节</w:t>
            </w:r>
          </w:p>
          <w:p w14:paraId="3F2745B0">
            <w:pPr>
              <w:pStyle w:val="57"/>
              <w:ind w:firstLine="0" w:firstLineChars="0"/>
              <w:jc w:val="center"/>
              <w:rPr>
                <w:rFonts w:hint="eastAsia" w:ascii="宋体" w:hAnsi="宋体" w:eastAsia="宋体" w:cs="宋体"/>
                <w:color w:val="auto"/>
                <w:lang w:val="en-US" w:eastAsia="zh-CN"/>
              </w:rPr>
            </w:pPr>
            <w:r>
              <w:rPr>
                <w:rFonts w:hint="eastAsia" w:ascii="宋体" w:hAnsi="宋体" w:eastAsia="宋体" w:cs="宋体"/>
                <w:color w:val="auto"/>
                <w:szCs w:val="21"/>
                <w:lang w:val="en-US" w:eastAsia="zh-CN"/>
              </w:rPr>
              <w:t>第11.1款</w:t>
            </w:r>
          </w:p>
        </w:tc>
        <w:tc>
          <w:tcPr>
            <w:tcW w:w="1742" w:type="dxa"/>
            <w:noWrap w:val="0"/>
            <w:vAlign w:val="center"/>
          </w:tcPr>
          <w:p w14:paraId="5188A308">
            <w:pPr>
              <w:adjustRightInd w:val="0"/>
              <w:snapToGrid w:val="0"/>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其他应当保密的信息</w:t>
            </w:r>
          </w:p>
        </w:tc>
        <w:tc>
          <w:tcPr>
            <w:tcW w:w="5170" w:type="dxa"/>
            <w:noWrap w:val="0"/>
            <w:vAlign w:val="center"/>
          </w:tcPr>
          <w:p w14:paraId="62CC0ECE">
            <w:pPr>
              <w:adjustRightInd w:val="0"/>
              <w:snapToGrid w:val="0"/>
              <w:jc w:val="left"/>
              <w:rPr>
                <w:rFonts w:hint="eastAsia" w:ascii="宋体" w:hAnsi="宋体" w:eastAsia="宋体" w:cs="宋体"/>
                <w:color w:val="auto"/>
                <w:szCs w:val="21"/>
              </w:rPr>
            </w:pPr>
          </w:p>
        </w:tc>
      </w:tr>
      <w:tr w14:paraId="18A7B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5B5828C">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134BD039">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2</w:t>
            </w:r>
            <w:r>
              <w:rPr>
                <w:rFonts w:hint="eastAsia" w:ascii="宋体" w:hAnsi="宋体" w:eastAsia="宋体" w:cs="宋体"/>
                <w:color w:val="auto"/>
                <w:szCs w:val="21"/>
              </w:rPr>
              <w:t>.2款</w:t>
            </w:r>
          </w:p>
        </w:tc>
        <w:tc>
          <w:tcPr>
            <w:tcW w:w="1742" w:type="dxa"/>
            <w:noWrap w:val="0"/>
            <w:vAlign w:val="center"/>
          </w:tcPr>
          <w:p w14:paraId="0F853151">
            <w:pPr>
              <w:adjustRightInd w:val="0"/>
              <w:snapToGrid w:val="0"/>
              <w:jc w:val="left"/>
              <w:rPr>
                <w:rFonts w:hint="eastAsia" w:ascii="宋体" w:hAnsi="宋体" w:eastAsia="宋体" w:cs="宋体"/>
                <w:color w:val="auto"/>
                <w:szCs w:val="21"/>
                <w:lang w:eastAsia="zh-CN"/>
              </w:rPr>
            </w:pPr>
            <w:r>
              <w:rPr>
                <w:rFonts w:hint="eastAsia" w:ascii="宋体" w:hAnsi="宋体" w:eastAsia="宋体" w:cs="宋体"/>
                <w:color w:val="auto"/>
                <w:szCs w:val="21"/>
              </w:rPr>
              <w:t>合同价款支付</w:t>
            </w:r>
            <w:r>
              <w:rPr>
                <w:rFonts w:hint="eastAsia" w:ascii="宋体" w:hAnsi="宋体" w:eastAsia="宋体" w:cs="宋体"/>
                <w:color w:val="auto"/>
                <w:szCs w:val="21"/>
                <w:lang w:eastAsia="zh-CN"/>
              </w:rPr>
              <w:t>时间</w:t>
            </w:r>
          </w:p>
        </w:tc>
        <w:tc>
          <w:tcPr>
            <w:tcW w:w="5170" w:type="dxa"/>
            <w:noWrap w:val="0"/>
            <w:vAlign w:val="center"/>
          </w:tcPr>
          <w:p w14:paraId="3FBECC2C">
            <w:pPr>
              <w:adjustRightInd w:val="0"/>
              <w:snapToGrid w:val="0"/>
              <w:jc w:val="left"/>
              <w:rPr>
                <w:rFonts w:hint="eastAsia" w:ascii="宋体" w:hAnsi="宋体" w:eastAsia="宋体" w:cs="宋体"/>
                <w:color w:val="auto"/>
                <w:szCs w:val="21"/>
              </w:rPr>
            </w:pPr>
          </w:p>
        </w:tc>
      </w:tr>
      <w:tr w14:paraId="4B739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14C53CBE">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520EACAE">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13.2</w:t>
            </w:r>
            <w:r>
              <w:rPr>
                <w:rFonts w:hint="eastAsia" w:ascii="宋体" w:hAnsi="宋体" w:eastAsia="宋体" w:cs="宋体"/>
                <w:color w:val="auto"/>
                <w:szCs w:val="21"/>
              </w:rPr>
              <w:t>款</w:t>
            </w:r>
          </w:p>
        </w:tc>
        <w:tc>
          <w:tcPr>
            <w:tcW w:w="1742" w:type="dxa"/>
            <w:noWrap w:val="0"/>
            <w:vAlign w:val="center"/>
          </w:tcPr>
          <w:p w14:paraId="2797E86A">
            <w:pPr>
              <w:adjustRightInd w:val="0"/>
              <w:snapToGrid w:val="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履约保证金不予退还的情形</w:t>
            </w:r>
          </w:p>
        </w:tc>
        <w:tc>
          <w:tcPr>
            <w:tcW w:w="5170" w:type="dxa"/>
            <w:noWrap w:val="0"/>
            <w:vAlign w:val="center"/>
          </w:tcPr>
          <w:p w14:paraId="47D65D0E">
            <w:pPr>
              <w:adjustRightInd w:val="0"/>
              <w:snapToGrid w:val="0"/>
              <w:jc w:val="left"/>
              <w:rPr>
                <w:rFonts w:hint="eastAsia" w:ascii="宋体" w:hAnsi="宋体" w:eastAsia="宋体" w:cs="宋体"/>
                <w:color w:val="auto"/>
                <w:szCs w:val="21"/>
              </w:rPr>
            </w:pPr>
          </w:p>
        </w:tc>
      </w:tr>
      <w:tr w14:paraId="08188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A434BE2">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7A6CB863">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13.3</w:t>
            </w:r>
            <w:r>
              <w:rPr>
                <w:rFonts w:hint="eastAsia" w:ascii="宋体" w:hAnsi="宋体" w:eastAsia="宋体" w:cs="宋体"/>
                <w:color w:val="auto"/>
                <w:szCs w:val="21"/>
              </w:rPr>
              <w:t>款</w:t>
            </w:r>
          </w:p>
        </w:tc>
        <w:tc>
          <w:tcPr>
            <w:tcW w:w="1742" w:type="dxa"/>
            <w:noWrap w:val="0"/>
            <w:vAlign w:val="center"/>
          </w:tcPr>
          <w:p w14:paraId="3F1CD0D9">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履约保证金退还时间及</w:t>
            </w:r>
            <w:r>
              <w:rPr>
                <w:rFonts w:hint="eastAsia" w:ascii="宋体" w:hAnsi="宋体" w:eastAsia="宋体" w:cs="宋体"/>
                <w:color w:val="auto"/>
                <w:szCs w:val="21"/>
                <w:lang w:eastAsia="zh-CN"/>
              </w:rPr>
              <w:t>逾期退还的</w:t>
            </w:r>
            <w:r>
              <w:rPr>
                <w:rFonts w:hint="eastAsia" w:ascii="宋体" w:hAnsi="宋体" w:eastAsia="宋体" w:cs="宋体"/>
                <w:color w:val="auto"/>
                <w:szCs w:val="21"/>
              </w:rPr>
              <w:t>违约金</w:t>
            </w:r>
          </w:p>
        </w:tc>
        <w:tc>
          <w:tcPr>
            <w:tcW w:w="5170" w:type="dxa"/>
            <w:noWrap w:val="0"/>
            <w:vAlign w:val="center"/>
          </w:tcPr>
          <w:p w14:paraId="0C3797CA">
            <w:pPr>
              <w:adjustRightInd w:val="0"/>
              <w:snapToGrid w:val="0"/>
              <w:jc w:val="left"/>
              <w:rPr>
                <w:rFonts w:hint="eastAsia" w:ascii="宋体" w:hAnsi="宋体" w:eastAsia="宋体" w:cs="宋体"/>
                <w:color w:val="auto"/>
                <w:szCs w:val="21"/>
              </w:rPr>
            </w:pPr>
          </w:p>
        </w:tc>
      </w:tr>
      <w:tr w14:paraId="6495E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3345EE35">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3859693E">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4</w:t>
            </w: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r>
              <w:rPr>
                <w:rFonts w:hint="eastAsia" w:ascii="宋体" w:hAnsi="宋体" w:eastAsia="宋体" w:cs="宋体"/>
                <w:color w:val="auto"/>
                <w:szCs w:val="21"/>
              </w:rPr>
              <w:t>）项</w:t>
            </w:r>
          </w:p>
        </w:tc>
        <w:tc>
          <w:tcPr>
            <w:tcW w:w="1742" w:type="dxa"/>
            <w:noWrap w:val="0"/>
            <w:vAlign w:val="center"/>
          </w:tcPr>
          <w:p w14:paraId="5CD8F906">
            <w:pPr>
              <w:adjustRightInd w:val="0"/>
              <w:snapToGrid w:val="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运行监督、维修期限</w:t>
            </w:r>
          </w:p>
        </w:tc>
        <w:tc>
          <w:tcPr>
            <w:tcW w:w="5170" w:type="dxa"/>
            <w:noWrap w:val="0"/>
            <w:vAlign w:val="center"/>
          </w:tcPr>
          <w:p w14:paraId="5342AB42">
            <w:pPr>
              <w:adjustRightInd w:val="0"/>
              <w:snapToGrid w:val="0"/>
              <w:jc w:val="left"/>
              <w:rPr>
                <w:rFonts w:hint="eastAsia" w:ascii="宋体" w:hAnsi="宋体" w:eastAsia="宋体" w:cs="宋体"/>
                <w:color w:val="auto"/>
                <w:szCs w:val="21"/>
              </w:rPr>
            </w:pPr>
          </w:p>
        </w:tc>
      </w:tr>
      <w:tr w14:paraId="69617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722361AB">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172041D6">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4</w:t>
            </w: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r>
              <w:rPr>
                <w:rFonts w:hint="eastAsia" w:ascii="宋体" w:hAnsi="宋体" w:eastAsia="宋体" w:cs="宋体"/>
                <w:color w:val="auto"/>
                <w:szCs w:val="21"/>
              </w:rPr>
              <w:t>）项</w:t>
            </w:r>
          </w:p>
        </w:tc>
        <w:tc>
          <w:tcPr>
            <w:tcW w:w="1742" w:type="dxa"/>
            <w:noWrap w:val="0"/>
            <w:vAlign w:val="center"/>
          </w:tcPr>
          <w:p w14:paraId="79809841">
            <w:pPr>
              <w:adjustRightInd w:val="0"/>
              <w:snapToGrid w:val="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货物回收的约定</w:t>
            </w:r>
          </w:p>
        </w:tc>
        <w:tc>
          <w:tcPr>
            <w:tcW w:w="5170" w:type="dxa"/>
            <w:noWrap w:val="0"/>
            <w:vAlign w:val="center"/>
          </w:tcPr>
          <w:p w14:paraId="686B6C5B">
            <w:pPr>
              <w:adjustRightInd w:val="0"/>
              <w:snapToGrid w:val="0"/>
              <w:jc w:val="left"/>
              <w:rPr>
                <w:rFonts w:hint="eastAsia" w:ascii="宋体" w:hAnsi="宋体" w:eastAsia="宋体" w:cs="宋体"/>
                <w:color w:val="auto"/>
                <w:szCs w:val="21"/>
              </w:rPr>
            </w:pPr>
          </w:p>
        </w:tc>
      </w:tr>
      <w:tr w14:paraId="223268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64D27B">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463D072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4</w:t>
            </w:r>
            <w:r>
              <w:rPr>
                <w:rFonts w:hint="eastAsia" w:ascii="宋体" w:hAnsi="宋体" w:eastAsia="宋体" w:cs="宋体"/>
                <w:color w:val="auto"/>
                <w:szCs w:val="21"/>
              </w:rPr>
              <w:t>.1（</w:t>
            </w:r>
            <w:r>
              <w:rPr>
                <w:rFonts w:hint="eastAsia" w:ascii="宋体" w:hAnsi="宋体" w:eastAsia="宋体" w:cs="宋体"/>
                <w:color w:val="auto"/>
                <w:szCs w:val="21"/>
                <w:lang w:val="en-US" w:eastAsia="zh-CN"/>
              </w:rPr>
              <w:t>6</w:t>
            </w:r>
            <w:r>
              <w:rPr>
                <w:rFonts w:hint="eastAsia" w:ascii="宋体" w:hAnsi="宋体" w:eastAsia="宋体" w:cs="宋体"/>
                <w:color w:val="auto"/>
                <w:szCs w:val="21"/>
              </w:rPr>
              <w:t>）项</w:t>
            </w:r>
          </w:p>
        </w:tc>
        <w:tc>
          <w:tcPr>
            <w:tcW w:w="1742" w:type="dxa"/>
            <w:noWrap w:val="0"/>
            <w:vAlign w:val="center"/>
          </w:tcPr>
          <w:p w14:paraId="0BB5E2A6">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乙方提供的其他服务</w:t>
            </w:r>
          </w:p>
        </w:tc>
        <w:tc>
          <w:tcPr>
            <w:tcW w:w="5170" w:type="dxa"/>
            <w:noWrap w:val="0"/>
            <w:vAlign w:val="center"/>
          </w:tcPr>
          <w:p w14:paraId="1D96D25A">
            <w:pPr>
              <w:adjustRightInd w:val="0"/>
              <w:snapToGrid w:val="0"/>
              <w:jc w:val="left"/>
              <w:rPr>
                <w:rFonts w:hint="eastAsia" w:ascii="宋体" w:hAnsi="宋体" w:eastAsia="宋体" w:cs="宋体"/>
                <w:color w:val="auto"/>
                <w:szCs w:val="21"/>
              </w:rPr>
            </w:pPr>
          </w:p>
        </w:tc>
      </w:tr>
      <w:tr w14:paraId="0E8E8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2BB4AB1">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60E902B2">
            <w:pPr>
              <w:adjustRightInd w:val="0"/>
              <w:snapToGrid w:val="0"/>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w:t>
            </w:r>
            <w:r>
              <w:rPr>
                <w:rFonts w:hint="eastAsia" w:ascii="宋体" w:hAnsi="宋体" w:eastAsia="宋体" w:cs="宋体"/>
                <w:color w:val="auto"/>
                <w:szCs w:val="21"/>
                <w:lang w:val="en-US" w:eastAsia="zh-CN"/>
              </w:rPr>
              <w:t>1款</w:t>
            </w:r>
          </w:p>
        </w:tc>
        <w:tc>
          <w:tcPr>
            <w:tcW w:w="1742" w:type="dxa"/>
            <w:noWrap w:val="0"/>
            <w:vAlign w:val="center"/>
          </w:tcPr>
          <w:p w14:paraId="207FB3BF">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highlight w:val="none"/>
                <w:lang w:eastAsia="zh-CN"/>
              </w:rPr>
              <w:t>修理、重作、更换相关具体规定</w:t>
            </w:r>
          </w:p>
        </w:tc>
        <w:tc>
          <w:tcPr>
            <w:tcW w:w="5170" w:type="dxa"/>
            <w:noWrap w:val="0"/>
            <w:vAlign w:val="center"/>
          </w:tcPr>
          <w:p w14:paraId="71904F8B">
            <w:pPr>
              <w:adjustRightInd w:val="0"/>
              <w:snapToGrid w:val="0"/>
              <w:jc w:val="left"/>
              <w:rPr>
                <w:rFonts w:hint="eastAsia" w:ascii="宋体" w:hAnsi="宋体" w:eastAsia="宋体" w:cs="宋体"/>
                <w:color w:val="auto"/>
                <w:szCs w:val="21"/>
              </w:rPr>
            </w:pPr>
          </w:p>
        </w:tc>
      </w:tr>
      <w:tr w14:paraId="7F15B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E0221F4">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46641749">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.2（2）项</w:t>
            </w:r>
          </w:p>
        </w:tc>
        <w:tc>
          <w:tcPr>
            <w:tcW w:w="1742" w:type="dxa"/>
            <w:noWrap w:val="0"/>
            <w:vAlign w:val="center"/>
          </w:tcPr>
          <w:p w14:paraId="7B103979">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迟延交货赔偿费</w:t>
            </w:r>
          </w:p>
        </w:tc>
        <w:tc>
          <w:tcPr>
            <w:tcW w:w="5170" w:type="dxa"/>
            <w:noWrap w:val="0"/>
            <w:vAlign w:val="center"/>
          </w:tcPr>
          <w:p w14:paraId="175C0809">
            <w:pPr>
              <w:adjustRightInd w:val="0"/>
              <w:snapToGrid w:val="0"/>
              <w:jc w:val="left"/>
              <w:rPr>
                <w:rFonts w:hint="eastAsia" w:ascii="宋体" w:hAnsi="宋体" w:eastAsia="宋体" w:cs="宋体"/>
                <w:color w:val="auto"/>
                <w:szCs w:val="21"/>
                <w:u w:val="single"/>
              </w:rPr>
            </w:pPr>
          </w:p>
        </w:tc>
      </w:tr>
      <w:tr w14:paraId="3F6D8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93E8F9D">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16E0200C">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w:t>
            </w:r>
            <w:r>
              <w:rPr>
                <w:rFonts w:hint="eastAsia" w:ascii="宋体" w:hAnsi="宋体" w:eastAsia="宋体" w:cs="宋体"/>
                <w:color w:val="auto"/>
                <w:szCs w:val="21"/>
                <w:lang w:val="en-US" w:eastAsia="zh-CN"/>
              </w:rPr>
              <w:t>3款</w:t>
            </w:r>
          </w:p>
        </w:tc>
        <w:tc>
          <w:tcPr>
            <w:tcW w:w="1742" w:type="dxa"/>
            <w:noWrap w:val="0"/>
            <w:vAlign w:val="center"/>
          </w:tcPr>
          <w:p w14:paraId="2CEA438F">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逾期付款利息</w:t>
            </w:r>
          </w:p>
        </w:tc>
        <w:tc>
          <w:tcPr>
            <w:tcW w:w="5170" w:type="dxa"/>
            <w:noWrap w:val="0"/>
            <w:vAlign w:val="center"/>
          </w:tcPr>
          <w:p w14:paraId="6355042C">
            <w:pPr>
              <w:adjustRightInd w:val="0"/>
              <w:snapToGrid w:val="0"/>
              <w:jc w:val="left"/>
              <w:rPr>
                <w:rFonts w:hint="eastAsia" w:ascii="宋体" w:hAnsi="宋体" w:eastAsia="宋体" w:cs="宋体"/>
                <w:color w:val="auto"/>
                <w:szCs w:val="21"/>
                <w:u w:val="single"/>
              </w:rPr>
            </w:pPr>
          </w:p>
        </w:tc>
      </w:tr>
      <w:tr w14:paraId="744EA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07ED54A4">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48359F43">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.4</w:t>
            </w:r>
            <w:r>
              <w:rPr>
                <w:rFonts w:hint="eastAsia" w:ascii="宋体" w:hAnsi="宋体" w:eastAsia="宋体" w:cs="宋体"/>
                <w:color w:val="auto"/>
                <w:szCs w:val="21"/>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4189F128">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rPr>
              <w:t>其他违约责任</w:t>
            </w:r>
          </w:p>
        </w:tc>
        <w:tc>
          <w:tcPr>
            <w:tcW w:w="5170" w:type="dxa"/>
            <w:tcBorders>
              <w:left w:val="single" w:color="auto" w:sz="2" w:space="0"/>
              <w:bottom w:val="single" w:color="auto" w:sz="2" w:space="0"/>
            </w:tcBorders>
            <w:noWrap w:val="0"/>
            <w:vAlign w:val="center"/>
          </w:tcPr>
          <w:p w14:paraId="7EC61962">
            <w:pPr>
              <w:adjustRightInd w:val="0"/>
              <w:snapToGrid w:val="0"/>
              <w:jc w:val="left"/>
              <w:rPr>
                <w:rFonts w:hint="eastAsia" w:ascii="宋体" w:hAnsi="宋体" w:eastAsia="宋体" w:cs="宋体"/>
                <w:color w:val="auto"/>
                <w:szCs w:val="21"/>
                <w:u w:val="single"/>
              </w:rPr>
            </w:pPr>
          </w:p>
        </w:tc>
      </w:tr>
      <w:tr w14:paraId="756CCC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7CDC71A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5CBD2CA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19</w:t>
            </w:r>
            <w:r>
              <w:rPr>
                <w:rFonts w:hint="eastAsia" w:ascii="宋体" w:hAnsi="宋体" w:eastAsia="宋体" w:cs="宋体"/>
                <w:color w:val="auto"/>
                <w:szCs w:val="21"/>
              </w:rPr>
              <w:t>.2</w:t>
            </w:r>
            <w:r>
              <w:rPr>
                <w:rFonts w:hint="eastAsia" w:ascii="宋体" w:hAnsi="宋体" w:eastAsia="宋体" w:cs="宋体"/>
                <w:color w:val="auto"/>
                <w:szCs w:val="21"/>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2AA1DEEF">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lang w:val="en-US" w:eastAsia="zh-CN"/>
              </w:rPr>
              <w:t>解决争议的方法</w:t>
            </w:r>
          </w:p>
        </w:tc>
        <w:tc>
          <w:tcPr>
            <w:tcW w:w="5170" w:type="dxa"/>
            <w:tcBorders>
              <w:top w:val="single" w:color="auto" w:sz="2" w:space="0"/>
              <w:left w:val="single" w:color="auto" w:sz="2" w:space="0"/>
            </w:tcBorders>
            <w:noWrap w:val="0"/>
            <w:vAlign w:val="center"/>
          </w:tcPr>
          <w:p w14:paraId="249B90CF">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因本合同及合同有关事项发生的争议，按下列第</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种方式解决：</w:t>
            </w:r>
          </w:p>
          <w:p w14:paraId="6E566DD3">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（1）向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仲裁委员会申请仲裁，仲裁地点为</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w:t>
            </w:r>
          </w:p>
          <w:p w14:paraId="29F7DA00">
            <w:pPr>
              <w:adjustRightInd w:val="0"/>
              <w:snapToGrid w:val="0"/>
              <w:ind w:firstLine="0" w:firstLineChars="0"/>
              <w:jc w:val="left"/>
              <w:rPr>
                <w:rFonts w:hint="eastAsia" w:ascii="宋体" w:hAnsi="宋体" w:eastAsia="宋体" w:cs="宋体"/>
                <w:color w:val="auto"/>
                <w:szCs w:val="21"/>
                <w:u w:val="single"/>
              </w:rPr>
            </w:pPr>
            <w:r>
              <w:rPr>
                <w:rFonts w:hint="eastAsia" w:ascii="宋体" w:hAnsi="宋体" w:eastAsia="宋体" w:cs="宋体"/>
                <w:b w:val="0"/>
                <w:bCs w:val="0"/>
                <w:iCs/>
                <w:color w:val="auto"/>
                <w:szCs w:val="21"/>
              </w:rPr>
              <w:t>（2）向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人民法院起诉。</w:t>
            </w:r>
          </w:p>
        </w:tc>
      </w:tr>
      <w:tr w14:paraId="2DCF1D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9FE01B1">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第二节</w:t>
            </w:r>
          </w:p>
          <w:p w14:paraId="67186706">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第2</w:t>
            </w:r>
            <w:r>
              <w:rPr>
                <w:rFonts w:hint="eastAsia" w:ascii="宋体" w:hAnsi="宋体" w:eastAsia="宋体" w:cs="宋体"/>
                <w:color w:val="auto"/>
                <w:szCs w:val="21"/>
                <w:lang w:val="en-US" w:eastAsia="zh-CN"/>
              </w:rPr>
              <w:t>3.1</w:t>
            </w:r>
            <w:r>
              <w:rPr>
                <w:rFonts w:hint="eastAsia" w:ascii="宋体" w:hAnsi="宋体" w:eastAsia="宋体" w:cs="宋体"/>
                <w:color w:val="auto"/>
                <w:szCs w:val="21"/>
                <w:lang w:eastAsia="zh-CN"/>
              </w:rPr>
              <w:t>款</w:t>
            </w:r>
          </w:p>
        </w:tc>
        <w:tc>
          <w:tcPr>
            <w:tcW w:w="1742" w:type="dxa"/>
            <w:noWrap w:val="0"/>
            <w:vAlign w:val="center"/>
          </w:tcPr>
          <w:p w14:paraId="3046DEB0">
            <w:pPr>
              <w:adjustRightInd w:val="0"/>
              <w:snapToGrid w:val="0"/>
              <w:jc w:val="left"/>
              <w:rPr>
                <w:rFonts w:hint="eastAsia" w:ascii="宋体" w:hAnsi="宋体" w:eastAsia="宋体" w:cs="宋体"/>
                <w:color w:val="auto"/>
                <w:szCs w:val="21"/>
              </w:rPr>
            </w:pPr>
            <w:r>
              <w:rPr>
                <w:rFonts w:hint="eastAsia" w:ascii="宋体" w:hAnsi="宋体" w:eastAsia="宋体" w:cs="宋体"/>
                <w:bCs/>
                <w:color w:val="auto"/>
                <w:szCs w:val="21"/>
                <w:highlight w:val="none"/>
                <w:lang w:eastAsia="zh-CN"/>
              </w:rPr>
              <w:t>其他专用条款</w:t>
            </w:r>
          </w:p>
        </w:tc>
        <w:tc>
          <w:tcPr>
            <w:tcW w:w="5170" w:type="dxa"/>
            <w:noWrap w:val="0"/>
            <w:vAlign w:val="center"/>
          </w:tcPr>
          <w:p w14:paraId="7B43BAD5">
            <w:pPr>
              <w:adjustRightInd w:val="0"/>
              <w:snapToGrid w:val="0"/>
              <w:jc w:val="left"/>
              <w:rPr>
                <w:rFonts w:hint="eastAsia" w:ascii="宋体" w:hAnsi="宋体" w:eastAsia="宋体" w:cs="宋体"/>
                <w:color w:val="auto"/>
                <w:szCs w:val="21"/>
                <w:lang w:val="en-US" w:eastAsia="zh-CN"/>
              </w:rPr>
            </w:pPr>
          </w:p>
        </w:tc>
      </w:tr>
    </w:tbl>
    <w:p w14:paraId="6D691B2D">
      <w:pPr>
        <w:snapToGrid w:val="0"/>
        <w:spacing w:line="460" w:lineRule="exact"/>
        <w:ind w:firstLine="480" w:firstLineChars="200"/>
        <w:rPr>
          <w:rFonts w:hint="eastAsia" w:ascii="宋体" w:hAnsi="宋体" w:eastAsia="宋体" w:cs="宋体"/>
          <w:bCs/>
          <w:color w:val="auto"/>
          <w:sz w:val="24"/>
        </w:rPr>
      </w:pPr>
    </w:p>
    <w:p w14:paraId="4608955E">
      <w:pPr>
        <w:widowControl/>
        <w:spacing w:line="360" w:lineRule="auto"/>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w:t>
      </w:r>
    </w:p>
    <w:p w14:paraId="38CA2273">
      <w:pPr>
        <w:widowControl/>
        <w:spacing w:line="240" w:lineRule="atLeast"/>
        <w:jc w:val="center"/>
        <w:outlineLvl w:val="0"/>
        <w:rPr>
          <w:rFonts w:hint="eastAsia" w:ascii="宋体" w:hAnsi="宋体" w:cs="宋体"/>
          <w:b/>
          <w:bCs/>
          <w:color w:val="auto"/>
          <w:kern w:val="0"/>
          <w:sz w:val="30"/>
          <w:szCs w:val="30"/>
        </w:rPr>
      </w:pPr>
      <w:bookmarkStart w:id="105" w:name="_Toc5240"/>
    </w:p>
    <w:p w14:paraId="62593E12">
      <w:pPr>
        <w:widowControl/>
        <w:spacing w:line="240" w:lineRule="atLeast"/>
        <w:jc w:val="center"/>
        <w:outlineLvl w:val="0"/>
        <w:rPr>
          <w:rFonts w:hint="eastAsia" w:ascii="宋体" w:hAnsi="宋体" w:cs="宋体"/>
          <w:b/>
          <w:bCs/>
          <w:color w:val="auto"/>
          <w:kern w:val="0"/>
          <w:sz w:val="30"/>
          <w:szCs w:val="30"/>
        </w:rPr>
      </w:pPr>
    </w:p>
    <w:p w14:paraId="557A065C">
      <w:pPr>
        <w:widowControl/>
        <w:spacing w:line="240" w:lineRule="atLeast"/>
        <w:jc w:val="center"/>
        <w:outlineLvl w:val="0"/>
        <w:rPr>
          <w:rFonts w:hint="eastAsia" w:ascii="宋体" w:hAnsi="宋体" w:cs="宋体"/>
          <w:b/>
          <w:bCs/>
          <w:color w:val="auto"/>
          <w:kern w:val="0"/>
          <w:sz w:val="30"/>
          <w:szCs w:val="30"/>
        </w:rPr>
      </w:pPr>
    </w:p>
    <w:p w14:paraId="6B6234AD">
      <w:pPr>
        <w:widowControl/>
        <w:spacing w:line="240" w:lineRule="atLeast"/>
        <w:jc w:val="center"/>
        <w:outlineLvl w:val="0"/>
        <w:rPr>
          <w:rFonts w:hint="eastAsia" w:ascii="宋体" w:hAnsi="宋体" w:cs="宋体"/>
          <w:b/>
          <w:bCs/>
          <w:color w:val="auto"/>
          <w:kern w:val="0"/>
          <w:sz w:val="30"/>
          <w:szCs w:val="30"/>
        </w:rPr>
      </w:pPr>
    </w:p>
    <w:p w14:paraId="4C20CB9C">
      <w:pPr>
        <w:widowControl/>
        <w:spacing w:line="240" w:lineRule="atLeast"/>
        <w:jc w:val="center"/>
        <w:outlineLvl w:val="0"/>
        <w:rPr>
          <w:rFonts w:hint="eastAsia" w:ascii="宋体" w:hAnsi="宋体" w:cs="宋体"/>
          <w:b/>
          <w:bCs/>
          <w:color w:val="auto"/>
          <w:kern w:val="0"/>
          <w:sz w:val="30"/>
          <w:szCs w:val="30"/>
        </w:rPr>
      </w:pPr>
    </w:p>
    <w:p w14:paraId="5BD8BCE8">
      <w:pPr>
        <w:widowControl/>
        <w:spacing w:line="240" w:lineRule="atLeast"/>
        <w:jc w:val="center"/>
        <w:outlineLvl w:val="0"/>
        <w:rPr>
          <w:rFonts w:hint="eastAsia" w:ascii="宋体" w:hAnsi="宋体" w:cs="宋体"/>
          <w:b/>
          <w:bCs/>
          <w:color w:val="auto"/>
          <w:kern w:val="0"/>
          <w:sz w:val="30"/>
          <w:szCs w:val="30"/>
        </w:rPr>
      </w:pPr>
    </w:p>
    <w:p w14:paraId="326DB571">
      <w:pPr>
        <w:widowControl/>
        <w:spacing w:line="240" w:lineRule="atLeast"/>
        <w:jc w:val="center"/>
        <w:outlineLvl w:val="0"/>
        <w:rPr>
          <w:rFonts w:hint="eastAsia" w:ascii="宋体" w:hAnsi="宋体" w:cs="宋体"/>
          <w:b/>
          <w:bCs/>
          <w:color w:val="auto"/>
          <w:kern w:val="0"/>
          <w:sz w:val="30"/>
          <w:szCs w:val="30"/>
        </w:rPr>
      </w:pPr>
    </w:p>
    <w:p w14:paraId="4CE1F88B">
      <w:pPr>
        <w:widowControl/>
        <w:spacing w:line="240" w:lineRule="atLeast"/>
        <w:jc w:val="center"/>
        <w:outlineLvl w:val="0"/>
        <w:rPr>
          <w:rFonts w:hint="eastAsia" w:ascii="宋体" w:hAnsi="宋体" w:cs="宋体"/>
          <w:b/>
          <w:bCs/>
          <w:color w:val="auto"/>
          <w:kern w:val="0"/>
          <w:sz w:val="30"/>
          <w:szCs w:val="30"/>
        </w:rPr>
      </w:pPr>
    </w:p>
    <w:p w14:paraId="00DA47BC">
      <w:pPr>
        <w:widowControl/>
        <w:spacing w:line="240" w:lineRule="atLeast"/>
        <w:jc w:val="center"/>
        <w:outlineLvl w:val="0"/>
        <w:rPr>
          <w:rFonts w:hint="eastAsia" w:ascii="宋体" w:hAnsi="宋体" w:cs="宋体"/>
          <w:b/>
          <w:bCs/>
          <w:color w:val="auto"/>
          <w:kern w:val="0"/>
          <w:sz w:val="30"/>
          <w:szCs w:val="30"/>
        </w:rPr>
      </w:pPr>
    </w:p>
    <w:p w14:paraId="15C17E91">
      <w:pPr>
        <w:widowControl/>
        <w:spacing w:line="240" w:lineRule="atLeast"/>
        <w:jc w:val="center"/>
        <w:outlineLvl w:val="0"/>
        <w:rPr>
          <w:rFonts w:hint="eastAsia" w:ascii="宋体" w:hAnsi="宋体" w:cs="宋体"/>
          <w:b/>
          <w:bCs/>
          <w:color w:val="auto"/>
          <w:kern w:val="0"/>
          <w:sz w:val="30"/>
          <w:szCs w:val="30"/>
        </w:rPr>
      </w:pPr>
    </w:p>
    <w:p w14:paraId="35D51194">
      <w:pPr>
        <w:widowControl/>
        <w:spacing w:line="240" w:lineRule="atLeast"/>
        <w:jc w:val="center"/>
        <w:outlineLvl w:val="0"/>
        <w:rPr>
          <w:rFonts w:hint="eastAsia" w:ascii="宋体" w:hAnsi="宋体" w:cs="宋体"/>
          <w:b/>
          <w:bCs/>
          <w:color w:val="auto"/>
          <w:kern w:val="0"/>
          <w:sz w:val="30"/>
          <w:szCs w:val="30"/>
        </w:rPr>
      </w:pPr>
      <w:r>
        <w:rPr>
          <w:rFonts w:hint="eastAsia" w:ascii="宋体" w:hAnsi="宋体" w:cs="宋体"/>
          <w:b/>
          <w:bCs/>
          <w:color w:val="auto"/>
          <w:kern w:val="0"/>
          <w:sz w:val="30"/>
          <w:szCs w:val="30"/>
        </w:rPr>
        <w:t>第六章  投标文件格式</w:t>
      </w:r>
      <w:bookmarkEnd w:id="105"/>
    </w:p>
    <w:p w14:paraId="583102A2">
      <w:pPr>
        <w:spacing w:line="1100" w:lineRule="exact"/>
        <w:jc w:val="center"/>
        <w:rPr>
          <w:rFonts w:hint="eastAsia" w:ascii="宋体" w:hAnsi="宋体" w:eastAsia="宋体"/>
          <w:b/>
          <w:color w:val="auto"/>
          <w:sz w:val="48"/>
          <w:szCs w:val="48"/>
          <w:lang w:eastAsia="zh-CN"/>
        </w:rPr>
      </w:pPr>
      <w:r>
        <w:rPr>
          <w:rFonts w:hint="eastAsia" w:ascii="宋体" w:hAnsi="宋体"/>
          <w:b/>
          <w:color w:val="auto"/>
          <w:sz w:val="48"/>
          <w:szCs w:val="48"/>
          <w:lang w:eastAsia="zh-CN"/>
        </w:rPr>
        <w:t>云南工业技师学院（太和校区）计算机网络技术实训设备采购（二次）</w:t>
      </w:r>
    </w:p>
    <w:p w14:paraId="18EC7D32">
      <w:pPr>
        <w:spacing w:line="360" w:lineRule="auto"/>
        <w:rPr>
          <w:rFonts w:ascii="宋体" w:hAnsi="宋体"/>
          <w:b/>
          <w:color w:val="auto"/>
          <w:sz w:val="32"/>
          <w:szCs w:val="32"/>
        </w:rPr>
      </w:pPr>
    </w:p>
    <w:p w14:paraId="08085EF6">
      <w:pPr>
        <w:spacing w:line="360" w:lineRule="auto"/>
        <w:rPr>
          <w:rFonts w:ascii="宋体" w:hAnsi="宋体"/>
          <w:b/>
          <w:color w:val="auto"/>
          <w:sz w:val="32"/>
          <w:szCs w:val="32"/>
        </w:rPr>
      </w:pPr>
    </w:p>
    <w:p w14:paraId="64B908BD">
      <w:pPr>
        <w:spacing w:line="360" w:lineRule="auto"/>
        <w:rPr>
          <w:rFonts w:ascii="宋体" w:hAnsi="宋体"/>
          <w:b/>
          <w:color w:val="auto"/>
          <w:sz w:val="32"/>
          <w:szCs w:val="32"/>
        </w:rPr>
      </w:pPr>
    </w:p>
    <w:p w14:paraId="586B9E34">
      <w:pPr>
        <w:pStyle w:val="4"/>
        <w:rPr>
          <w:rFonts w:ascii="宋体" w:hAnsi="宋体"/>
          <w:b/>
          <w:color w:val="auto"/>
          <w:sz w:val="32"/>
          <w:szCs w:val="32"/>
        </w:rPr>
      </w:pPr>
    </w:p>
    <w:p w14:paraId="052F8AC2">
      <w:pPr>
        <w:rPr>
          <w:color w:val="auto"/>
        </w:rPr>
      </w:pPr>
    </w:p>
    <w:p w14:paraId="527B3583">
      <w:pPr>
        <w:spacing w:line="360" w:lineRule="auto"/>
        <w:jc w:val="center"/>
        <w:rPr>
          <w:rFonts w:ascii="宋体" w:hAnsi="宋体"/>
          <w:b/>
          <w:color w:val="auto"/>
          <w:sz w:val="72"/>
          <w:szCs w:val="72"/>
        </w:rPr>
      </w:pPr>
      <w:r>
        <w:rPr>
          <w:rFonts w:hint="eastAsia" w:ascii="宋体" w:hAnsi="宋体"/>
          <w:b/>
          <w:color w:val="auto"/>
          <w:sz w:val="72"/>
          <w:szCs w:val="72"/>
        </w:rPr>
        <w:t>投 标 文 件</w:t>
      </w:r>
    </w:p>
    <w:p w14:paraId="4D068A2C">
      <w:pPr>
        <w:spacing w:line="360" w:lineRule="auto"/>
        <w:jc w:val="center"/>
        <w:rPr>
          <w:rFonts w:hint="eastAsia" w:ascii="宋体" w:hAnsi="宋体"/>
          <w:b/>
          <w:color w:val="auto"/>
          <w:sz w:val="28"/>
          <w:szCs w:val="28"/>
        </w:rPr>
      </w:pPr>
      <w:r>
        <w:rPr>
          <w:rFonts w:hint="eastAsia" w:ascii="宋体" w:hAnsi="宋体"/>
          <w:b/>
          <w:color w:val="auto"/>
          <w:sz w:val="28"/>
          <w:szCs w:val="28"/>
        </w:rPr>
        <w:t>项目编号：</w:t>
      </w:r>
    </w:p>
    <w:p w14:paraId="7E880969">
      <w:pPr>
        <w:spacing w:line="360" w:lineRule="auto"/>
        <w:ind w:firstLine="627" w:firstLineChars="196"/>
        <w:rPr>
          <w:rFonts w:ascii="宋体" w:hAnsi="宋体"/>
          <w:color w:val="auto"/>
          <w:sz w:val="32"/>
          <w:szCs w:val="32"/>
        </w:rPr>
      </w:pPr>
    </w:p>
    <w:p w14:paraId="430F04B7">
      <w:pPr>
        <w:spacing w:line="360" w:lineRule="auto"/>
        <w:ind w:firstLine="627" w:firstLineChars="196"/>
        <w:rPr>
          <w:rFonts w:ascii="宋体" w:hAnsi="宋体"/>
          <w:color w:val="auto"/>
          <w:sz w:val="32"/>
          <w:szCs w:val="32"/>
        </w:rPr>
      </w:pPr>
    </w:p>
    <w:p w14:paraId="155DA5A0">
      <w:pPr>
        <w:spacing w:line="600" w:lineRule="exact"/>
        <w:rPr>
          <w:rFonts w:hint="eastAsia" w:ascii="宋体" w:hAnsi="宋体"/>
          <w:b/>
          <w:color w:val="auto"/>
          <w:sz w:val="28"/>
        </w:rPr>
      </w:pPr>
    </w:p>
    <w:p w14:paraId="6FCC29E0">
      <w:pPr>
        <w:pStyle w:val="10"/>
        <w:rPr>
          <w:rFonts w:hint="eastAsia" w:ascii="宋体" w:hAnsi="宋体"/>
          <w:b/>
          <w:color w:val="auto"/>
          <w:sz w:val="28"/>
        </w:rPr>
      </w:pPr>
    </w:p>
    <w:p w14:paraId="4B687C57">
      <w:pPr>
        <w:spacing w:line="600" w:lineRule="exact"/>
        <w:rPr>
          <w:rFonts w:ascii="宋体" w:hAnsi="宋体"/>
          <w:b/>
          <w:color w:val="auto"/>
          <w:sz w:val="28"/>
        </w:rPr>
      </w:pPr>
      <w:r>
        <w:rPr>
          <w:rFonts w:hint="eastAsia" w:ascii="宋体" w:hAnsi="宋体"/>
          <w:b/>
          <w:color w:val="auto"/>
          <w:sz w:val="28"/>
        </w:rPr>
        <w:t>投标供应商名称（电子签章）：</w:t>
      </w:r>
      <w:r>
        <w:rPr>
          <w:rFonts w:hint="eastAsia" w:ascii="宋体" w:hAnsi="宋体"/>
          <w:b/>
          <w:color w:val="auto"/>
          <w:sz w:val="28"/>
          <w:u w:val="single"/>
        </w:rPr>
        <w:t xml:space="preserve">                                              </w:t>
      </w:r>
      <w:r>
        <w:rPr>
          <w:rFonts w:hint="eastAsia" w:ascii="宋体" w:hAnsi="宋体"/>
          <w:b/>
          <w:color w:val="auto"/>
          <w:sz w:val="28"/>
        </w:rPr>
        <w:t xml:space="preserve">                                               </w:t>
      </w:r>
    </w:p>
    <w:p w14:paraId="0BC9438F">
      <w:pPr>
        <w:spacing w:line="600" w:lineRule="exact"/>
        <w:rPr>
          <w:rFonts w:ascii="宋体" w:hAnsi="宋体"/>
          <w:b/>
          <w:color w:val="auto"/>
          <w:sz w:val="28"/>
          <w:u w:val="single"/>
        </w:rPr>
      </w:pPr>
      <w:r>
        <w:rPr>
          <w:rFonts w:hint="eastAsia" w:ascii="宋体" w:hAnsi="宋体"/>
          <w:b/>
          <w:color w:val="auto"/>
          <w:sz w:val="28"/>
        </w:rPr>
        <w:t>法人代表人或其授权代理人：</w:t>
      </w:r>
      <w:r>
        <w:rPr>
          <w:rFonts w:hint="eastAsia" w:ascii="宋体" w:hAnsi="宋体"/>
          <w:b/>
          <w:color w:val="auto"/>
          <w:sz w:val="28"/>
          <w:u w:val="single"/>
        </w:rPr>
        <w:t xml:space="preserve">                （电子签章）         </w:t>
      </w:r>
    </w:p>
    <w:p w14:paraId="205B4FCA">
      <w:pPr>
        <w:spacing w:line="600" w:lineRule="exact"/>
        <w:rPr>
          <w:rFonts w:ascii="宋体" w:hAnsi="宋体"/>
          <w:b/>
          <w:color w:val="auto"/>
          <w:sz w:val="28"/>
          <w:u w:val="single"/>
        </w:rPr>
      </w:pPr>
      <w:r>
        <w:rPr>
          <w:rFonts w:hint="eastAsia" w:ascii="宋体" w:hAnsi="宋体"/>
          <w:b/>
          <w:color w:val="auto"/>
          <w:sz w:val="28"/>
        </w:rPr>
        <w:t xml:space="preserve">地   址： </w:t>
      </w:r>
      <w:r>
        <w:rPr>
          <w:rFonts w:hint="eastAsia" w:ascii="宋体" w:hAnsi="宋体"/>
          <w:b/>
          <w:color w:val="auto"/>
          <w:sz w:val="28"/>
          <w:u w:val="single"/>
        </w:rPr>
        <w:t xml:space="preserve">                                                       </w:t>
      </w:r>
    </w:p>
    <w:p w14:paraId="355A92B3">
      <w:pPr>
        <w:spacing w:line="600" w:lineRule="exact"/>
        <w:rPr>
          <w:rFonts w:ascii="宋体" w:hAnsi="宋体"/>
          <w:b/>
          <w:color w:val="auto"/>
          <w:sz w:val="28"/>
        </w:rPr>
      </w:pPr>
      <w:r>
        <w:rPr>
          <w:rFonts w:hint="eastAsia" w:ascii="宋体" w:hAnsi="宋体"/>
          <w:b/>
          <w:color w:val="auto"/>
          <w:sz w:val="28"/>
        </w:rPr>
        <w:t>联 系 人：</w:t>
      </w:r>
      <w:r>
        <w:rPr>
          <w:rFonts w:hint="eastAsia" w:ascii="宋体" w:hAnsi="宋体"/>
          <w:b/>
          <w:color w:val="auto"/>
          <w:sz w:val="28"/>
          <w:u w:val="single"/>
        </w:rPr>
        <w:t xml:space="preserve">                                                       </w:t>
      </w:r>
      <w:r>
        <w:rPr>
          <w:rFonts w:hint="eastAsia" w:ascii="宋体" w:hAnsi="宋体"/>
          <w:b/>
          <w:color w:val="auto"/>
          <w:sz w:val="28"/>
        </w:rPr>
        <w:t xml:space="preserve">                                                      </w:t>
      </w:r>
    </w:p>
    <w:p w14:paraId="0CEC1801">
      <w:pPr>
        <w:spacing w:line="600" w:lineRule="exact"/>
        <w:rPr>
          <w:rFonts w:ascii="宋体" w:hAnsi="宋体"/>
          <w:b/>
          <w:color w:val="auto"/>
          <w:sz w:val="28"/>
        </w:rPr>
      </w:pPr>
      <w:r>
        <w:rPr>
          <w:rFonts w:hint="eastAsia" w:ascii="宋体" w:hAnsi="宋体"/>
          <w:b/>
          <w:color w:val="auto"/>
          <w:sz w:val="28"/>
        </w:rPr>
        <w:t>联系电话：</w:t>
      </w:r>
      <w:r>
        <w:rPr>
          <w:rFonts w:hint="eastAsia" w:ascii="宋体" w:hAnsi="宋体"/>
          <w:b/>
          <w:color w:val="auto"/>
          <w:sz w:val="28"/>
          <w:u w:val="single"/>
        </w:rPr>
        <w:t xml:space="preserve">                                                       </w:t>
      </w:r>
      <w:r>
        <w:rPr>
          <w:rFonts w:hint="eastAsia" w:ascii="宋体" w:hAnsi="宋体"/>
          <w:b/>
          <w:color w:val="auto"/>
          <w:sz w:val="28"/>
        </w:rPr>
        <w:t xml:space="preserve"> </w:t>
      </w:r>
      <w:r>
        <w:rPr>
          <w:rFonts w:hint="eastAsia" w:ascii="宋体" w:hAnsi="宋体"/>
          <w:b/>
          <w:color w:val="auto"/>
          <w:sz w:val="32"/>
        </w:rPr>
        <w:t xml:space="preserve">                                                                                                                                                     </w:t>
      </w:r>
    </w:p>
    <w:p w14:paraId="64AAEE83">
      <w:pPr>
        <w:spacing w:line="600" w:lineRule="exact"/>
        <w:jc w:val="left"/>
        <w:rPr>
          <w:color w:val="auto"/>
        </w:rPr>
      </w:pPr>
      <w:r>
        <w:rPr>
          <w:rFonts w:hint="eastAsia" w:ascii="宋体" w:hAnsi="宋体"/>
          <w:b/>
          <w:color w:val="auto"/>
          <w:sz w:val="28"/>
        </w:rPr>
        <w:t>投标日期：</w:t>
      </w:r>
      <w:r>
        <w:rPr>
          <w:rFonts w:hint="eastAsia" w:ascii="宋体" w:hAnsi="宋体"/>
          <w:b/>
          <w:color w:val="auto"/>
          <w:sz w:val="32"/>
          <w:u w:val="single"/>
        </w:rPr>
        <w:t xml:space="preserve">       年    月   日                            </w:t>
      </w:r>
    </w:p>
    <w:p w14:paraId="7E3138A2">
      <w:pPr>
        <w:spacing w:line="360" w:lineRule="auto"/>
        <w:jc w:val="center"/>
        <w:rPr>
          <w:rFonts w:hint="eastAsia" w:ascii="宋体" w:hAnsi="宋体" w:cs="宋体"/>
          <w:b/>
          <w:bCs/>
          <w:color w:val="auto"/>
          <w:kern w:val="0"/>
          <w:sz w:val="36"/>
          <w:szCs w:val="28"/>
          <w:lang w:val="en-US" w:eastAsia="zh-CN"/>
        </w:rPr>
      </w:pPr>
    </w:p>
    <w:p w14:paraId="448BB4E9">
      <w:pPr>
        <w:spacing w:line="360" w:lineRule="auto"/>
        <w:jc w:val="center"/>
        <w:rPr>
          <w:rFonts w:ascii="宋体" w:hAnsi="宋体"/>
          <w:color w:val="auto"/>
          <w:kern w:val="0"/>
          <w:szCs w:val="21"/>
        </w:rPr>
      </w:pPr>
      <w:r>
        <w:rPr>
          <w:rFonts w:hint="eastAsia" w:ascii="宋体" w:hAnsi="宋体" w:cs="宋体"/>
          <w:b/>
          <w:bCs/>
          <w:color w:val="auto"/>
          <w:kern w:val="0"/>
          <w:sz w:val="36"/>
          <w:szCs w:val="28"/>
          <w:lang w:val="en-US" w:eastAsia="zh-CN"/>
        </w:rPr>
        <w:t>1.</w:t>
      </w:r>
      <w:r>
        <w:rPr>
          <w:rFonts w:hint="eastAsia" w:ascii="宋体" w:hAnsi="宋体" w:cs="宋体"/>
          <w:b/>
          <w:bCs/>
          <w:color w:val="auto"/>
          <w:kern w:val="0"/>
          <w:sz w:val="36"/>
          <w:szCs w:val="28"/>
        </w:rPr>
        <w:t xml:space="preserve">投价报价（唱标）一览表  </w:t>
      </w:r>
      <w:r>
        <w:rPr>
          <w:rFonts w:hint="eastAsia" w:ascii="宋体" w:hAnsi="宋体"/>
          <w:color w:val="auto"/>
          <w:kern w:val="0"/>
          <w:szCs w:val="21"/>
        </w:rPr>
        <w:t xml:space="preserve">                       </w:t>
      </w:r>
    </w:p>
    <w:p w14:paraId="70E56DB2">
      <w:pPr>
        <w:spacing w:before="312" w:beforeLines="100" w:line="360" w:lineRule="auto"/>
        <w:ind w:left="480" w:right="-153" w:rightChars="-73" w:hanging="480" w:hangingChars="200"/>
        <w:jc w:val="left"/>
        <w:rPr>
          <w:rFonts w:hint="eastAsia" w:ascii="宋体" w:hAnsi="宋体"/>
          <w:color w:val="auto"/>
          <w:sz w:val="24"/>
          <w:u w:val="single"/>
        </w:rPr>
      </w:pPr>
      <w:r>
        <w:rPr>
          <w:rFonts w:hint="eastAsia" w:ascii="宋体" w:hAnsi="宋体"/>
          <w:color w:val="auto"/>
          <w:sz w:val="24"/>
        </w:rPr>
        <w:t>项目名称：</w:t>
      </w:r>
    </w:p>
    <w:tbl>
      <w:tblPr>
        <w:tblStyle w:val="22"/>
        <w:tblW w:w="9275" w:type="dxa"/>
        <w:jc w:val="center"/>
        <w:tblLayout w:type="fixed"/>
        <w:tblCellMar>
          <w:top w:w="0" w:type="dxa"/>
          <w:left w:w="108" w:type="dxa"/>
          <w:bottom w:w="0" w:type="dxa"/>
          <w:right w:w="108" w:type="dxa"/>
        </w:tblCellMar>
      </w:tblPr>
      <w:tblGrid>
        <w:gridCol w:w="791"/>
        <w:gridCol w:w="2989"/>
        <w:gridCol w:w="2293"/>
        <w:gridCol w:w="3202"/>
      </w:tblGrid>
      <w:tr w14:paraId="6058714F">
        <w:tblPrEx>
          <w:tblCellMar>
            <w:top w:w="0" w:type="dxa"/>
            <w:left w:w="108" w:type="dxa"/>
            <w:bottom w:w="0" w:type="dxa"/>
            <w:right w:w="108" w:type="dxa"/>
          </w:tblCellMar>
        </w:tblPrEx>
        <w:trPr>
          <w:trHeight w:val="599" w:hRule="atLeast"/>
          <w:jc w:val="center"/>
        </w:trPr>
        <w:tc>
          <w:tcPr>
            <w:tcW w:w="791" w:type="dxa"/>
            <w:vMerge w:val="restart"/>
            <w:tcBorders>
              <w:top w:val="single" w:color="auto" w:sz="4" w:space="0"/>
              <w:left w:val="single" w:color="auto" w:sz="4" w:space="0"/>
              <w:bottom w:val="single" w:color="auto" w:sz="4" w:space="0"/>
              <w:right w:val="single" w:color="auto" w:sz="4" w:space="0"/>
            </w:tcBorders>
            <w:noWrap w:val="0"/>
            <w:vAlign w:val="center"/>
          </w:tcPr>
          <w:p w14:paraId="32A20D85">
            <w:pPr>
              <w:jc w:val="center"/>
              <w:rPr>
                <w:rFonts w:ascii="宋体" w:hAnsi="宋体" w:cs="宋体"/>
                <w:color w:val="auto"/>
                <w:sz w:val="24"/>
              </w:rPr>
            </w:pPr>
            <w:r>
              <w:rPr>
                <w:rFonts w:hint="eastAsia" w:ascii="宋体" w:hAnsi="宋体" w:cs="宋体"/>
                <w:color w:val="auto"/>
                <w:sz w:val="24"/>
              </w:rPr>
              <w:t>序号</w:t>
            </w:r>
          </w:p>
        </w:tc>
        <w:tc>
          <w:tcPr>
            <w:tcW w:w="2989" w:type="dxa"/>
            <w:vMerge w:val="restart"/>
            <w:tcBorders>
              <w:top w:val="single" w:color="auto" w:sz="4" w:space="0"/>
              <w:left w:val="single" w:color="auto" w:sz="4" w:space="0"/>
              <w:bottom w:val="single" w:color="auto" w:sz="4" w:space="0"/>
              <w:right w:val="single" w:color="auto" w:sz="4" w:space="0"/>
            </w:tcBorders>
            <w:noWrap w:val="0"/>
            <w:vAlign w:val="center"/>
          </w:tcPr>
          <w:p w14:paraId="5ECECF16">
            <w:pPr>
              <w:jc w:val="center"/>
              <w:rPr>
                <w:rFonts w:ascii="宋体" w:hAnsi="宋体" w:cs="宋体"/>
                <w:color w:val="auto"/>
                <w:sz w:val="24"/>
              </w:rPr>
            </w:pPr>
            <w:r>
              <w:rPr>
                <w:rFonts w:hint="eastAsia" w:ascii="宋体" w:hAnsi="宋体" w:cs="宋体"/>
                <w:color w:val="auto"/>
                <w:sz w:val="24"/>
              </w:rPr>
              <w:t>项        目</w:t>
            </w:r>
          </w:p>
        </w:tc>
        <w:tc>
          <w:tcPr>
            <w:tcW w:w="5495" w:type="dxa"/>
            <w:gridSpan w:val="2"/>
            <w:tcBorders>
              <w:top w:val="single" w:color="auto" w:sz="4" w:space="0"/>
              <w:left w:val="nil"/>
              <w:bottom w:val="single" w:color="auto" w:sz="4" w:space="0"/>
              <w:right w:val="single" w:color="auto" w:sz="4" w:space="0"/>
            </w:tcBorders>
            <w:noWrap w:val="0"/>
            <w:vAlign w:val="center"/>
          </w:tcPr>
          <w:p w14:paraId="4D1030E7">
            <w:pPr>
              <w:jc w:val="center"/>
              <w:rPr>
                <w:rFonts w:ascii="宋体" w:hAnsi="宋体" w:cs="宋体"/>
                <w:color w:val="auto"/>
                <w:sz w:val="24"/>
              </w:rPr>
            </w:pPr>
            <w:r>
              <w:rPr>
                <w:rFonts w:hint="eastAsia" w:ascii="宋体" w:hAnsi="宋体" w:cs="宋体"/>
                <w:color w:val="auto"/>
                <w:sz w:val="24"/>
              </w:rPr>
              <w:t>金         额</w:t>
            </w:r>
          </w:p>
        </w:tc>
      </w:tr>
      <w:tr w14:paraId="03E07C4D">
        <w:tblPrEx>
          <w:tblCellMar>
            <w:top w:w="0" w:type="dxa"/>
            <w:left w:w="108" w:type="dxa"/>
            <w:bottom w:w="0" w:type="dxa"/>
            <w:right w:w="108" w:type="dxa"/>
          </w:tblCellMar>
        </w:tblPrEx>
        <w:trPr>
          <w:trHeight w:val="661" w:hRule="atLeast"/>
          <w:jc w:val="center"/>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14:paraId="5C4633A2">
            <w:pPr>
              <w:rPr>
                <w:rFonts w:ascii="宋体" w:hAnsi="宋体" w:cs="宋体"/>
                <w:color w:val="auto"/>
                <w:sz w:val="24"/>
              </w:rPr>
            </w:pPr>
          </w:p>
        </w:tc>
        <w:tc>
          <w:tcPr>
            <w:tcW w:w="2989" w:type="dxa"/>
            <w:vMerge w:val="continue"/>
            <w:tcBorders>
              <w:top w:val="single" w:color="auto" w:sz="4" w:space="0"/>
              <w:left w:val="single" w:color="auto" w:sz="4" w:space="0"/>
              <w:bottom w:val="single" w:color="auto" w:sz="4" w:space="0"/>
              <w:right w:val="single" w:color="auto" w:sz="4" w:space="0"/>
            </w:tcBorders>
            <w:noWrap w:val="0"/>
            <w:vAlign w:val="center"/>
          </w:tcPr>
          <w:p w14:paraId="0CBF1C2C">
            <w:pPr>
              <w:rPr>
                <w:rFonts w:ascii="宋体" w:hAnsi="宋体" w:cs="宋体"/>
                <w:color w:val="auto"/>
                <w:sz w:val="24"/>
              </w:rPr>
            </w:pPr>
          </w:p>
        </w:tc>
        <w:tc>
          <w:tcPr>
            <w:tcW w:w="2293" w:type="dxa"/>
            <w:tcBorders>
              <w:top w:val="nil"/>
              <w:left w:val="nil"/>
              <w:bottom w:val="single" w:color="auto" w:sz="4" w:space="0"/>
              <w:right w:val="single" w:color="auto" w:sz="4" w:space="0"/>
            </w:tcBorders>
            <w:noWrap w:val="0"/>
            <w:vAlign w:val="center"/>
          </w:tcPr>
          <w:p w14:paraId="4866D9B6">
            <w:pPr>
              <w:jc w:val="center"/>
              <w:rPr>
                <w:rFonts w:ascii="宋体" w:hAnsi="宋体" w:cs="宋体"/>
                <w:color w:val="auto"/>
                <w:sz w:val="24"/>
              </w:rPr>
            </w:pPr>
            <w:r>
              <w:rPr>
                <w:rFonts w:hint="eastAsia" w:ascii="宋体" w:hAnsi="宋体" w:cs="宋体"/>
                <w:color w:val="auto"/>
                <w:sz w:val="24"/>
              </w:rPr>
              <w:t>小写</w:t>
            </w:r>
          </w:p>
        </w:tc>
        <w:tc>
          <w:tcPr>
            <w:tcW w:w="3202" w:type="dxa"/>
            <w:tcBorders>
              <w:top w:val="nil"/>
              <w:left w:val="nil"/>
              <w:bottom w:val="single" w:color="auto" w:sz="4" w:space="0"/>
              <w:right w:val="single" w:color="auto" w:sz="4" w:space="0"/>
            </w:tcBorders>
            <w:noWrap w:val="0"/>
            <w:vAlign w:val="center"/>
          </w:tcPr>
          <w:p w14:paraId="2343F86E">
            <w:pPr>
              <w:jc w:val="center"/>
              <w:rPr>
                <w:rFonts w:ascii="宋体" w:hAnsi="宋体" w:cs="宋体"/>
                <w:color w:val="auto"/>
                <w:sz w:val="24"/>
              </w:rPr>
            </w:pPr>
            <w:r>
              <w:rPr>
                <w:rFonts w:hint="eastAsia" w:ascii="宋体" w:hAnsi="宋体" w:cs="宋体"/>
                <w:color w:val="auto"/>
                <w:sz w:val="24"/>
              </w:rPr>
              <w:t>大写</w:t>
            </w:r>
          </w:p>
        </w:tc>
      </w:tr>
      <w:tr w14:paraId="07B75CB4">
        <w:tblPrEx>
          <w:tblCellMar>
            <w:top w:w="0" w:type="dxa"/>
            <w:left w:w="108" w:type="dxa"/>
            <w:bottom w:w="0" w:type="dxa"/>
            <w:right w:w="108" w:type="dxa"/>
          </w:tblCellMar>
        </w:tblPrEx>
        <w:trPr>
          <w:trHeight w:val="808" w:hRule="atLeast"/>
          <w:jc w:val="center"/>
        </w:trPr>
        <w:tc>
          <w:tcPr>
            <w:tcW w:w="791" w:type="dxa"/>
            <w:tcBorders>
              <w:top w:val="nil"/>
              <w:left w:val="single" w:color="auto" w:sz="4" w:space="0"/>
              <w:bottom w:val="single" w:color="auto" w:sz="4" w:space="0"/>
              <w:right w:val="single" w:color="auto" w:sz="4" w:space="0"/>
            </w:tcBorders>
            <w:noWrap w:val="0"/>
            <w:vAlign w:val="center"/>
          </w:tcPr>
          <w:p w14:paraId="67EB077F">
            <w:pPr>
              <w:jc w:val="center"/>
              <w:rPr>
                <w:rFonts w:ascii="宋体" w:hAnsi="宋体" w:cs="宋体"/>
                <w:color w:val="auto"/>
                <w:sz w:val="24"/>
              </w:rPr>
            </w:pPr>
            <w:r>
              <w:rPr>
                <w:rFonts w:hint="eastAsia" w:ascii="宋体" w:hAnsi="宋体" w:cs="宋体"/>
                <w:color w:val="auto"/>
                <w:sz w:val="24"/>
              </w:rPr>
              <w:t>1</w:t>
            </w:r>
          </w:p>
        </w:tc>
        <w:tc>
          <w:tcPr>
            <w:tcW w:w="2989" w:type="dxa"/>
            <w:tcBorders>
              <w:top w:val="nil"/>
              <w:left w:val="nil"/>
              <w:bottom w:val="single" w:color="auto" w:sz="4" w:space="0"/>
              <w:right w:val="single" w:color="auto" w:sz="4" w:space="0"/>
            </w:tcBorders>
            <w:noWrap w:val="0"/>
            <w:vAlign w:val="center"/>
          </w:tcPr>
          <w:p w14:paraId="67DDAEEF">
            <w:pPr>
              <w:jc w:val="center"/>
              <w:rPr>
                <w:rFonts w:ascii="宋体" w:hAnsi="宋体" w:cs="宋体"/>
                <w:color w:val="auto"/>
                <w:sz w:val="24"/>
              </w:rPr>
            </w:pPr>
            <w:r>
              <w:rPr>
                <w:rFonts w:hint="eastAsia" w:ascii="宋体" w:hAnsi="宋体" w:cs="宋体"/>
                <w:color w:val="auto"/>
                <w:sz w:val="24"/>
              </w:rPr>
              <w:t>投标总价</w:t>
            </w:r>
          </w:p>
        </w:tc>
        <w:tc>
          <w:tcPr>
            <w:tcW w:w="2293" w:type="dxa"/>
            <w:tcBorders>
              <w:top w:val="nil"/>
              <w:left w:val="nil"/>
              <w:bottom w:val="single" w:color="auto" w:sz="4" w:space="0"/>
              <w:right w:val="single" w:color="auto" w:sz="4" w:space="0"/>
            </w:tcBorders>
            <w:noWrap w:val="0"/>
            <w:vAlign w:val="center"/>
          </w:tcPr>
          <w:p w14:paraId="5CEED3AC">
            <w:pPr>
              <w:rPr>
                <w:rFonts w:ascii="宋体" w:hAnsi="宋体" w:cs="宋体"/>
                <w:color w:val="auto"/>
                <w:sz w:val="24"/>
              </w:rPr>
            </w:pPr>
          </w:p>
        </w:tc>
        <w:tc>
          <w:tcPr>
            <w:tcW w:w="3202" w:type="dxa"/>
            <w:tcBorders>
              <w:top w:val="nil"/>
              <w:left w:val="nil"/>
              <w:bottom w:val="single" w:color="auto" w:sz="4" w:space="0"/>
              <w:right w:val="single" w:color="auto" w:sz="4" w:space="0"/>
            </w:tcBorders>
            <w:noWrap w:val="0"/>
            <w:vAlign w:val="center"/>
          </w:tcPr>
          <w:p w14:paraId="218F8D50">
            <w:pPr>
              <w:rPr>
                <w:rFonts w:ascii="宋体" w:hAnsi="宋体" w:cs="宋体"/>
                <w:color w:val="auto"/>
                <w:sz w:val="24"/>
              </w:rPr>
            </w:pPr>
          </w:p>
        </w:tc>
      </w:tr>
      <w:tr w14:paraId="0C1C9476">
        <w:tblPrEx>
          <w:tblCellMar>
            <w:top w:w="0" w:type="dxa"/>
            <w:left w:w="108" w:type="dxa"/>
            <w:bottom w:w="0" w:type="dxa"/>
            <w:right w:w="108" w:type="dxa"/>
          </w:tblCellMar>
        </w:tblPrEx>
        <w:trPr>
          <w:trHeight w:val="752" w:hRule="atLeast"/>
          <w:jc w:val="center"/>
        </w:trPr>
        <w:tc>
          <w:tcPr>
            <w:tcW w:w="791" w:type="dxa"/>
            <w:tcBorders>
              <w:top w:val="nil"/>
              <w:left w:val="single" w:color="auto" w:sz="4" w:space="0"/>
              <w:bottom w:val="single" w:color="auto" w:sz="4" w:space="0"/>
              <w:right w:val="single" w:color="auto" w:sz="4" w:space="0"/>
            </w:tcBorders>
            <w:noWrap w:val="0"/>
            <w:vAlign w:val="center"/>
          </w:tcPr>
          <w:p w14:paraId="21266721">
            <w:pPr>
              <w:jc w:val="center"/>
              <w:rPr>
                <w:rFonts w:ascii="宋体" w:hAnsi="宋体" w:cs="宋体"/>
                <w:color w:val="auto"/>
                <w:sz w:val="24"/>
              </w:rPr>
            </w:pPr>
            <w:r>
              <w:rPr>
                <w:rFonts w:hint="eastAsia" w:ascii="宋体" w:hAnsi="宋体" w:cs="宋体"/>
                <w:color w:val="auto"/>
                <w:sz w:val="24"/>
              </w:rPr>
              <w:t>2</w:t>
            </w:r>
          </w:p>
        </w:tc>
        <w:tc>
          <w:tcPr>
            <w:tcW w:w="2989" w:type="dxa"/>
            <w:tcBorders>
              <w:top w:val="nil"/>
              <w:left w:val="nil"/>
              <w:bottom w:val="single" w:color="auto" w:sz="4" w:space="0"/>
              <w:right w:val="single" w:color="auto" w:sz="4" w:space="0"/>
            </w:tcBorders>
            <w:noWrap w:val="0"/>
            <w:vAlign w:val="center"/>
          </w:tcPr>
          <w:p w14:paraId="17F00D2D">
            <w:pPr>
              <w:jc w:val="center"/>
              <w:rPr>
                <w:rFonts w:hint="eastAsia" w:ascii="宋体" w:hAnsi="宋体" w:cs="宋体"/>
                <w:color w:val="auto"/>
                <w:sz w:val="24"/>
              </w:rPr>
            </w:pPr>
            <w:r>
              <w:rPr>
                <w:rFonts w:hint="eastAsia" w:ascii="宋体" w:hAnsi="宋体" w:eastAsia="宋体" w:cs="宋体"/>
                <w:color w:val="auto"/>
                <w:sz w:val="24"/>
              </w:rPr>
              <w:t>供货时间</w:t>
            </w:r>
          </w:p>
        </w:tc>
        <w:tc>
          <w:tcPr>
            <w:tcW w:w="5495" w:type="dxa"/>
            <w:gridSpan w:val="2"/>
            <w:tcBorders>
              <w:top w:val="single" w:color="auto" w:sz="4" w:space="0"/>
              <w:left w:val="nil"/>
              <w:bottom w:val="single" w:color="auto" w:sz="4" w:space="0"/>
              <w:right w:val="single" w:color="000000" w:sz="4" w:space="0"/>
            </w:tcBorders>
            <w:noWrap w:val="0"/>
            <w:vAlign w:val="center"/>
          </w:tcPr>
          <w:p w14:paraId="63C627E6">
            <w:pPr>
              <w:jc w:val="left"/>
              <w:rPr>
                <w:rFonts w:ascii="宋体" w:hAnsi="宋体" w:cs="宋体"/>
                <w:color w:val="auto"/>
                <w:sz w:val="24"/>
              </w:rPr>
            </w:pPr>
          </w:p>
        </w:tc>
      </w:tr>
      <w:tr w14:paraId="5CE8A1C0">
        <w:tblPrEx>
          <w:tblCellMar>
            <w:top w:w="0" w:type="dxa"/>
            <w:left w:w="108" w:type="dxa"/>
            <w:bottom w:w="0" w:type="dxa"/>
            <w:right w:w="108" w:type="dxa"/>
          </w:tblCellMar>
        </w:tblPrEx>
        <w:trPr>
          <w:trHeight w:val="752" w:hRule="atLeast"/>
          <w:jc w:val="center"/>
        </w:trPr>
        <w:tc>
          <w:tcPr>
            <w:tcW w:w="791" w:type="dxa"/>
            <w:tcBorders>
              <w:top w:val="nil"/>
              <w:left w:val="single" w:color="auto" w:sz="4" w:space="0"/>
              <w:bottom w:val="single" w:color="auto" w:sz="4" w:space="0"/>
              <w:right w:val="single" w:color="auto" w:sz="4" w:space="0"/>
            </w:tcBorders>
            <w:noWrap w:val="0"/>
            <w:vAlign w:val="center"/>
          </w:tcPr>
          <w:p w14:paraId="62014C6F">
            <w:pPr>
              <w:jc w:val="center"/>
              <w:rPr>
                <w:rFonts w:hint="eastAsia" w:ascii="宋体" w:hAnsi="宋体" w:cs="宋体"/>
                <w:color w:val="auto"/>
                <w:sz w:val="24"/>
              </w:rPr>
            </w:pPr>
            <w:r>
              <w:rPr>
                <w:rFonts w:hint="eastAsia" w:ascii="宋体" w:hAnsi="宋体" w:cs="宋体"/>
                <w:color w:val="auto"/>
                <w:sz w:val="24"/>
              </w:rPr>
              <w:t>3</w:t>
            </w:r>
          </w:p>
        </w:tc>
        <w:tc>
          <w:tcPr>
            <w:tcW w:w="2989" w:type="dxa"/>
            <w:tcBorders>
              <w:top w:val="nil"/>
              <w:left w:val="nil"/>
              <w:bottom w:val="single" w:color="auto" w:sz="4" w:space="0"/>
              <w:right w:val="single" w:color="auto" w:sz="4" w:space="0"/>
            </w:tcBorders>
            <w:noWrap w:val="0"/>
            <w:vAlign w:val="center"/>
          </w:tcPr>
          <w:p w14:paraId="49386086">
            <w:pPr>
              <w:jc w:val="center"/>
              <w:rPr>
                <w:rFonts w:hint="eastAsia" w:ascii="宋体" w:hAnsi="宋体" w:cs="宋体"/>
                <w:color w:val="auto"/>
                <w:sz w:val="24"/>
              </w:rPr>
            </w:pPr>
            <w:r>
              <w:rPr>
                <w:rFonts w:hint="eastAsia" w:ascii="宋体" w:hAnsi="宋体" w:cs="宋体"/>
                <w:color w:val="auto"/>
                <w:sz w:val="24"/>
              </w:rPr>
              <w:t>质量要求</w:t>
            </w:r>
          </w:p>
        </w:tc>
        <w:tc>
          <w:tcPr>
            <w:tcW w:w="5495" w:type="dxa"/>
            <w:gridSpan w:val="2"/>
            <w:tcBorders>
              <w:top w:val="single" w:color="auto" w:sz="4" w:space="0"/>
              <w:left w:val="nil"/>
              <w:bottom w:val="single" w:color="auto" w:sz="4" w:space="0"/>
              <w:right w:val="single" w:color="000000" w:sz="4" w:space="0"/>
            </w:tcBorders>
            <w:noWrap w:val="0"/>
            <w:vAlign w:val="center"/>
          </w:tcPr>
          <w:p w14:paraId="5C0A115D">
            <w:pPr>
              <w:jc w:val="left"/>
              <w:rPr>
                <w:rFonts w:ascii="宋体" w:hAnsi="宋体" w:cs="宋体"/>
                <w:color w:val="auto"/>
                <w:sz w:val="24"/>
              </w:rPr>
            </w:pPr>
          </w:p>
        </w:tc>
      </w:tr>
      <w:tr w14:paraId="63283593">
        <w:tblPrEx>
          <w:tblCellMar>
            <w:top w:w="0" w:type="dxa"/>
            <w:left w:w="108" w:type="dxa"/>
            <w:bottom w:w="0" w:type="dxa"/>
            <w:right w:w="108" w:type="dxa"/>
          </w:tblCellMar>
        </w:tblPrEx>
        <w:trPr>
          <w:trHeight w:val="768"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41E2E138">
            <w:pPr>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2989" w:type="dxa"/>
            <w:tcBorders>
              <w:top w:val="single" w:color="auto" w:sz="4" w:space="0"/>
              <w:left w:val="nil"/>
              <w:bottom w:val="single" w:color="auto" w:sz="4" w:space="0"/>
              <w:right w:val="single" w:color="auto" w:sz="4" w:space="0"/>
            </w:tcBorders>
            <w:noWrap w:val="0"/>
            <w:vAlign w:val="center"/>
          </w:tcPr>
          <w:p w14:paraId="2D1458A0">
            <w:pPr>
              <w:jc w:val="center"/>
              <w:rPr>
                <w:rFonts w:ascii="宋体" w:hAnsi="宋体" w:cs="宋体"/>
                <w:color w:val="auto"/>
                <w:sz w:val="24"/>
              </w:rPr>
            </w:pPr>
            <w:r>
              <w:rPr>
                <w:rFonts w:hint="eastAsia" w:ascii="宋体" w:hAnsi="宋体" w:cs="宋体"/>
                <w:color w:val="auto"/>
                <w:sz w:val="24"/>
              </w:rPr>
              <w:t>说明</w:t>
            </w:r>
          </w:p>
        </w:tc>
        <w:tc>
          <w:tcPr>
            <w:tcW w:w="5495" w:type="dxa"/>
            <w:gridSpan w:val="2"/>
            <w:tcBorders>
              <w:top w:val="single" w:color="auto" w:sz="4" w:space="0"/>
              <w:left w:val="nil"/>
              <w:bottom w:val="single" w:color="auto" w:sz="4" w:space="0"/>
              <w:right w:val="single" w:color="000000" w:sz="4" w:space="0"/>
            </w:tcBorders>
            <w:noWrap w:val="0"/>
            <w:vAlign w:val="center"/>
          </w:tcPr>
          <w:p w14:paraId="03609020">
            <w:pPr>
              <w:jc w:val="left"/>
              <w:rPr>
                <w:rFonts w:ascii="宋体" w:hAnsi="宋体" w:cs="宋体"/>
                <w:color w:val="auto"/>
                <w:sz w:val="24"/>
              </w:rPr>
            </w:pPr>
          </w:p>
        </w:tc>
      </w:tr>
      <w:tr w14:paraId="70A191C9">
        <w:tblPrEx>
          <w:tblCellMar>
            <w:top w:w="0" w:type="dxa"/>
            <w:left w:w="108" w:type="dxa"/>
            <w:bottom w:w="0" w:type="dxa"/>
            <w:right w:w="108" w:type="dxa"/>
          </w:tblCellMar>
        </w:tblPrEx>
        <w:trPr>
          <w:trHeight w:val="1902" w:hRule="atLeast"/>
          <w:jc w:val="center"/>
        </w:trPr>
        <w:tc>
          <w:tcPr>
            <w:tcW w:w="9275" w:type="dxa"/>
            <w:gridSpan w:val="4"/>
            <w:tcBorders>
              <w:top w:val="single" w:color="auto" w:sz="4" w:space="0"/>
              <w:left w:val="single" w:color="auto" w:sz="4" w:space="0"/>
              <w:bottom w:val="single" w:color="auto" w:sz="4" w:space="0"/>
              <w:right w:val="single" w:color="000000" w:sz="4" w:space="0"/>
            </w:tcBorders>
            <w:noWrap w:val="0"/>
            <w:vAlign w:val="center"/>
          </w:tcPr>
          <w:p w14:paraId="741EA566">
            <w:pPr>
              <w:spacing w:line="600" w:lineRule="exact"/>
              <w:ind w:firstLine="2" w:firstLineChars="1"/>
              <w:rPr>
                <w:rFonts w:ascii="宋体" w:hAnsi="宋体" w:cs="宋体"/>
                <w:color w:val="auto"/>
                <w:sz w:val="24"/>
              </w:rPr>
            </w:pPr>
            <w:r>
              <w:rPr>
                <w:rFonts w:hint="eastAsia" w:ascii="宋体" w:hAnsi="宋体" w:cs="宋体"/>
                <w:color w:val="auto"/>
                <w:sz w:val="24"/>
              </w:rPr>
              <w:t>供应商：</w:t>
            </w:r>
            <w:r>
              <w:rPr>
                <w:rFonts w:hint="eastAsia" w:ascii="宋体" w:hAnsi="宋体" w:cs="宋体"/>
                <w:color w:val="auto"/>
                <w:sz w:val="24"/>
                <w:u w:val="single"/>
              </w:rPr>
              <w:t xml:space="preserve">                                 </w:t>
            </w:r>
            <w:r>
              <w:rPr>
                <w:rFonts w:hint="eastAsia" w:ascii="宋体" w:hAnsi="宋体" w:cs="宋体"/>
                <w:color w:val="auto"/>
                <w:sz w:val="24"/>
              </w:rPr>
              <w:t>（加盖电子公章）</w:t>
            </w:r>
          </w:p>
          <w:p w14:paraId="0F7B9CA3">
            <w:pPr>
              <w:spacing w:line="600" w:lineRule="exact"/>
              <w:ind w:firstLine="2" w:firstLineChars="1"/>
              <w:rPr>
                <w:rFonts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kern w:val="0"/>
                <w:sz w:val="24"/>
              </w:rPr>
              <w:t>电子签名/签章</w:t>
            </w:r>
            <w:r>
              <w:rPr>
                <w:rFonts w:hint="eastAsia" w:ascii="宋体" w:hAnsi="宋体" w:cs="宋体"/>
                <w:color w:val="auto"/>
                <w:sz w:val="24"/>
              </w:rPr>
              <w:t>）</w:t>
            </w:r>
          </w:p>
          <w:p w14:paraId="41886008">
            <w:pPr>
              <w:jc w:val="left"/>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tc>
      </w:tr>
    </w:tbl>
    <w:p w14:paraId="696ECF59">
      <w:pPr>
        <w:spacing w:line="360" w:lineRule="auto"/>
        <w:rPr>
          <w:rFonts w:ascii="宋体" w:hAnsi="宋体"/>
          <w:b/>
          <w:bCs/>
          <w:color w:val="auto"/>
          <w:kern w:val="44"/>
          <w:sz w:val="24"/>
        </w:rPr>
      </w:pPr>
      <w:r>
        <w:rPr>
          <w:rFonts w:hint="eastAsia" w:ascii="宋体" w:hAnsi="宋体"/>
          <w:b/>
          <w:bCs/>
          <w:color w:val="auto"/>
          <w:kern w:val="44"/>
          <w:sz w:val="24"/>
        </w:rPr>
        <w:t>注：此报价表须放在投标文件的第一页。</w:t>
      </w:r>
    </w:p>
    <w:p w14:paraId="0AA73CB8">
      <w:pPr>
        <w:spacing w:line="500" w:lineRule="exact"/>
        <w:ind w:left="1081" w:leftChars="228" w:hanging="602" w:hangingChars="200"/>
        <w:jc w:val="center"/>
        <w:rPr>
          <w:rFonts w:hint="eastAsia" w:ascii="宋体" w:hAnsi="宋体"/>
          <w:b/>
          <w:color w:val="auto"/>
          <w:sz w:val="30"/>
          <w:szCs w:val="30"/>
        </w:rPr>
      </w:pPr>
    </w:p>
    <w:p w14:paraId="64E0194E">
      <w:pPr>
        <w:spacing w:line="500" w:lineRule="exact"/>
        <w:ind w:left="1081" w:leftChars="228" w:hanging="602" w:hangingChars="200"/>
        <w:jc w:val="center"/>
        <w:rPr>
          <w:rFonts w:hint="eastAsia" w:ascii="宋体" w:hAnsi="宋体"/>
          <w:b/>
          <w:color w:val="auto"/>
          <w:sz w:val="30"/>
          <w:szCs w:val="30"/>
        </w:rPr>
      </w:pPr>
    </w:p>
    <w:p w14:paraId="4FF2FB64">
      <w:pPr>
        <w:spacing w:line="500" w:lineRule="exact"/>
        <w:ind w:left="1081" w:leftChars="228" w:hanging="602" w:hangingChars="200"/>
        <w:jc w:val="center"/>
        <w:rPr>
          <w:rFonts w:hint="eastAsia" w:ascii="宋体" w:hAnsi="宋体"/>
          <w:b/>
          <w:color w:val="auto"/>
          <w:sz w:val="30"/>
          <w:szCs w:val="30"/>
        </w:rPr>
      </w:pPr>
    </w:p>
    <w:p w14:paraId="33019C3B">
      <w:pPr>
        <w:spacing w:line="500" w:lineRule="exact"/>
        <w:ind w:left="1081" w:leftChars="228" w:hanging="602" w:hangingChars="200"/>
        <w:jc w:val="center"/>
        <w:rPr>
          <w:rFonts w:hint="eastAsia" w:ascii="宋体" w:hAnsi="宋体"/>
          <w:b/>
          <w:color w:val="auto"/>
          <w:sz w:val="30"/>
          <w:szCs w:val="30"/>
        </w:rPr>
      </w:pPr>
    </w:p>
    <w:p w14:paraId="7311B597">
      <w:pPr>
        <w:spacing w:line="500" w:lineRule="exact"/>
        <w:ind w:left="1081" w:leftChars="228" w:hanging="602" w:hangingChars="200"/>
        <w:jc w:val="center"/>
        <w:rPr>
          <w:rFonts w:hint="eastAsia" w:ascii="宋体" w:hAnsi="宋体"/>
          <w:b/>
          <w:color w:val="auto"/>
          <w:sz w:val="30"/>
          <w:szCs w:val="30"/>
        </w:rPr>
      </w:pPr>
    </w:p>
    <w:p w14:paraId="6DEE3351">
      <w:pPr>
        <w:spacing w:line="500" w:lineRule="exact"/>
        <w:ind w:left="1081" w:leftChars="228" w:hanging="602" w:hangingChars="200"/>
        <w:jc w:val="center"/>
        <w:rPr>
          <w:rFonts w:hint="eastAsia" w:ascii="宋体" w:hAnsi="宋体"/>
          <w:b/>
          <w:color w:val="auto"/>
          <w:sz w:val="30"/>
          <w:szCs w:val="30"/>
        </w:rPr>
      </w:pPr>
    </w:p>
    <w:p w14:paraId="1E8BCC5E">
      <w:pPr>
        <w:spacing w:line="500" w:lineRule="exact"/>
        <w:ind w:left="1081" w:leftChars="228" w:hanging="602" w:hangingChars="200"/>
        <w:jc w:val="center"/>
        <w:rPr>
          <w:rFonts w:hint="eastAsia" w:ascii="宋体" w:hAnsi="宋体"/>
          <w:b/>
          <w:color w:val="auto"/>
          <w:sz w:val="30"/>
          <w:szCs w:val="30"/>
        </w:rPr>
      </w:pPr>
    </w:p>
    <w:p w14:paraId="68E8C04F">
      <w:pPr>
        <w:spacing w:line="500" w:lineRule="exact"/>
        <w:ind w:left="1081" w:leftChars="228" w:hanging="602" w:hangingChars="200"/>
        <w:jc w:val="center"/>
        <w:rPr>
          <w:rFonts w:hint="eastAsia" w:ascii="宋体" w:hAnsi="宋体"/>
          <w:b/>
          <w:color w:val="auto"/>
          <w:sz w:val="30"/>
          <w:szCs w:val="30"/>
        </w:rPr>
      </w:pPr>
    </w:p>
    <w:p w14:paraId="26BDDD8D">
      <w:pPr>
        <w:spacing w:line="500" w:lineRule="exact"/>
        <w:ind w:left="1081" w:leftChars="228" w:hanging="602" w:hangingChars="200"/>
        <w:jc w:val="center"/>
        <w:rPr>
          <w:rFonts w:hint="eastAsia" w:ascii="宋体" w:hAnsi="宋体"/>
          <w:b/>
          <w:color w:val="auto"/>
          <w:sz w:val="30"/>
          <w:szCs w:val="30"/>
        </w:rPr>
      </w:pPr>
    </w:p>
    <w:p w14:paraId="49292774">
      <w:pPr>
        <w:spacing w:line="500" w:lineRule="exact"/>
        <w:ind w:left="1081" w:leftChars="228" w:hanging="602" w:hangingChars="200"/>
        <w:jc w:val="center"/>
        <w:rPr>
          <w:rFonts w:hint="eastAsia" w:ascii="宋体" w:hAnsi="宋体"/>
          <w:b/>
          <w:color w:val="auto"/>
          <w:sz w:val="30"/>
          <w:szCs w:val="30"/>
        </w:rPr>
      </w:pPr>
    </w:p>
    <w:p w14:paraId="5424DB6E">
      <w:pPr>
        <w:spacing w:line="500" w:lineRule="exact"/>
        <w:ind w:left="1081" w:leftChars="228" w:hanging="602" w:hangingChars="200"/>
        <w:jc w:val="center"/>
        <w:rPr>
          <w:rFonts w:hint="eastAsia" w:ascii="宋体" w:hAnsi="宋体"/>
          <w:b/>
          <w:color w:val="auto"/>
          <w:sz w:val="30"/>
          <w:szCs w:val="30"/>
        </w:rPr>
      </w:pPr>
    </w:p>
    <w:p w14:paraId="1E6D2D13">
      <w:pPr>
        <w:spacing w:line="500" w:lineRule="exact"/>
        <w:ind w:left="1081" w:leftChars="228" w:hanging="602" w:hangingChars="200"/>
        <w:jc w:val="center"/>
        <w:rPr>
          <w:rFonts w:ascii="宋体" w:hAnsi="宋体"/>
          <w:b/>
          <w:color w:val="auto"/>
          <w:sz w:val="30"/>
          <w:szCs w:val="30"/>
        </w:rPr>
      </w:pPr>
      <w:r>
        <w:rPr>
          <w:rFonts w:hint="eastAsia" w:ascii="宋体" w:hAnsi="宋体"/>
          <w:b/>
          <w:color w:val="auto"/>
          <w:sz w:val="30"/>
          <w:szCs w:val="30"/>
          <w:lang w:val="en-US" w:eastAsia="zh-CN"/>
        </w:rPr>
        <w:t>2</w:t>
      </w:r>
      <w:r>
        <w:rPr>
          <w:rFonts w:hint="eastAsia" w:ascii="宋体" w:hAnsi="宋体"/>
          <w:b/>
          <w:color w:val="auto"/>
          <w:sz w:val="30"/>
          <w:szCs w:val="30"/>
        </w:rPr>
        <w:t>.投标函</w:t>
      </w:r>
    </w:p>
    <w:p w14:paraId="31AD773F">
      <w:pPr>
        <w:tabs>
          <w:tab w:val="left" w:pos="7560"/>
        </w:tabs>
        <w:spacing w:line="520" w:lineRule="exact"/>
        <w:ind w:firstLine="490"/>
        <w:rPr>
          <w:rFonts w:ascii="宋体" w:hAnsi="宋体"/>
          <w:color w:val="auto"/>
          <w:sz w:val="24"/>
        </w:rPr>
      </w:pPr>
      <w:r>
        <w:rPr>
          <w:rFonts w:hint="eastAsia" w:ascii="宋体" w:hAnsi="宋体"/>
          <w:color w:val="auto"/>
          <w:sz w:val="24"/>
        </w:rPr>
        <w:t>致：</w:t>
      </w:r>
      <w:r>
        <w:rPr>
          <w:rFonts w:ascii="宋体" w:hAnsi="宋体"/>
          <w:color w:val="auto"/>
          <w:sz w:val="24"/>
          <w:u w:val="single"/>
        </w:rPr>
        <w:t xml:space="preserve">  </w:t>
      </w:r>
      <w:r>
        <w:rPr>
          <w:rFonts w:hint="eastAsia" w:ascii="宋体" w:hAnsi="宋体"/>
          <w:color w:val="auto"/>
          <w:sz w:val="24"/>
          <w:u w:val="single"/>
        </w:rPr>
        <w:t>（采购单位）</w:t>
      </w:r>
      <w:r>
        <w:rPr>
          <w:rStyle w:val="26"/>
          <w:rFonts w:hint="eastAsia" w:ascii="宋体" w:hAnsi="宋体"/>
          <w:color w:val="auto"/>
          <w:sz w:val="24"/>
          <w:u w:val="single"/>
        </w:rPr>
        <w:t xml:space="preserve">                       </w:t>
      </w:r>
      <w:r>
        <w:rPr>
          <w:rFonts w:ascii="宋体" w:hAnsi="宋体"/>
          <w:color w:val="auto"/>
          <w:sz w:val="24"/>
          <w:u w:val="single"/>
        </w:rPr>
        <w:t xml:space="preserve">  </w:t>
      </w:r>
    </w:p>
    <w:p w14:paraId="492E2D5E">
      <w:pPr>
        <w:widowControl/>
        <w:spacing w:after="120" w:line="460" w:lineRule="exact"/>
        <w:ind w:firstLine="480" w:firstLineChars="200"/>
        <w:jc w:val="left"/>
        <w:rPr>
          <w:rFonts w:ascii="宋体" w:hAnsi="宋体"/>
          <w:bCs/>
          <w:color w:val="auto"/>
          <w:kern w:val="0"/>
          <w:sz w:val="24"/>
        </w:rPr>
      </w:pPr>
      <w:r>
        <w:rPr>
          <w:rFonts w:hint="eastAsia" w:ascii="宋体" w:hAnsi="宋体"/>
          <w:bCs/>
          <w:color w:val="auto"/>
          <w:kern w:val="0"/>
          <w:sz w:val="24"/>
        </w:rPr>
        <w:t>1、根据你方的</w:t>
      </w:r>
      <w:r>
        <w:rPr>
          <w:rFonts w:hint="eastAsia" w:ascii="宋体" w:hAnsi="宋体"/>
          <w:b/>
          <w:bCs/>
          <w:color w:val="auto"/>
          <w:kern w:val="0"/>
          <w:sz w:val="24"/>
          <w:lang w:eastAsia="zh-CN"/>
        </w:rPr>
        <w:t>云南工业技师学院（太和校区）计算机网络技术实训设备采购（二次）</w:t>
      </w:r>
      <w:r>
        <w:rPr>
          <w:rFonts w:hint="eastAsia" w:ascii="宋体" w:hAnsi="宋体"/>
          <w:bCs/>
          <w:color w:val="auto"/>
          <w:kern w:val="0"/>
          <w:sz w:val="24"/>
        </w:rPr>
        <w:t>的招标文件，遵照根据《中华人民共和国政府采购法》和</w:t>
      </w:r>
      <w:r>
        <w:rPr>
          <w:rFonts w:hint="eastAsia" w:ascii="宋体" w:hAnsi="宋体" w:cs="宋体"/>
          <w:color w:val="auto"/>
          <w:kern w:val="0"/>
          <w:sz w:val="24"/>
        </w:rPr>
        <w:t>《中华人民共和国财政部87号令》、《云南省政府采购条例》等政府采购有关规定</w:t>
      </w:r>
      <w:r>
        <w:rPr>
          <w:rFonts w:hint="eastAsia" w:ascii="宋体" w:hAnsi="宋体"/>
          <w:bCs/>
          <w:color w:val="auto"/>
          <w:kern w:val="0"/>
          <w:sz w:val="24"/>
        </w:rPr>
        <w:t>，结合采购项目特点制定本评标办法。经研究上述招标文件的投标须知、合同条款及质量标准后，我方愿以人民币(大写：</w:t>
      </w:r>
      <w:r>
        <w:rPr>
          <w:rFonts w:hint="eastAsia" w:ascii="宋体" w:hAnsi="宋体"/>
          <w:bCs/>
          <w:color w:val="auto"/>
          <w:kern w:val="0"/>
          <w:sz w:val="24"/>
          <w:u w:val="single"/>
        </w:rPr>
        <w:t xml:space="preserve">          </w:t>
      </w:r>
      <w:r>
        <w:rPr>
          <w:rFonts w:hint="eastAsia" w:ascii="宋体" w:hAnsi="宋体"/>
          <w:bCs/>
          <w:color w:val="auto"/>
          <w:kern w:val="0"/>
          <w:sz w:val="24"/>
        </w:rPr>
        <w:t>、小写：</w:t>
      </w:r>
      <w:r>
        <w:rPr>
          <w:rFonts w:hint="eastAsia" w:ascii="宋体" w:hAnsi="宋体"/>
          <w:bCs/>
          <w:color w:val="auto"/>
          <w:kern w:val="0"/>
          <w:sz w:val="24"/>
          <w:u w:val="single"/>
        </w:rPr>
        <w:t xml:space="preserve">      </w:t>
      </w:r>
      <w:r>
        <w:rPr>
          <w:rFonts w:hint="eastAsia" w:ascii="宋体" w:hAnsi="宋体"/>
          <w:bCs/>
          <w:color w:val="auto"/>
          <w:kern w:val="0"/>
          <w:sz w:val="24"/>
        </w:rPr>
        <w:t>）的投标报价并按上述合同条款、质量标准的要求承包上述采购，并承担任何质量缺陷保修责任。</w:t>
      </w:r>
    </w:p>
    <w:p w14:paraId="67D656B1">
      <w:pPr>
        <w:widowControl/>
        <w:spacing w:after="120" w:line="460" w:lineRule="exact"/>
        <w:ind w:firstLine="480" w:firstLineChars="200"/>
        <w:jc w:val="left"/>
        <w:rPr>
          <w:rFonts w:ascii="宋体" w:hAnsi="宋体" w:cs="宋体"/>
          <w:color w:val="auto"/>
          <w:kern w:val="0"/>
          <w:sz w:val="24"/>
        </w:rPr>
      </w:pPr>
      <w:r>
        <w:rPr>
          <w:rFonts w:hint="eastAsia" w:ascii="宋体" w:hAnsi="宋体"/>
          <w:bCs/>
          <w:color w:val="auto"/>
          <w:kern w:val="0"/>
          <w:sz w:val="24"/>
        </w:rPr>
        <w:t>2</w:t>
      </w:r>
      <w:r>
        <w:rPr>
          <w:rFonts w:hint="eastAsia" w:ascii="宋体" w:hAnsi="宋体" w:cs="宋体"/>
          <w:bCs/>
          <w:color w:val="auto"/>
          <w:kern w:val="0"/>
          <w:sz w:val="24"/>
        </w:rPr>
        <w:t>、我方愿意提供贵中心可能另外要求的，与投标有关的文件资料，并保证我方已提供和将要提供的文件资料是真实、准确的。</w:t>
      </w:r>
    </w:p>
    <w:p w14:paraId="591BEDDB">
      <w:pPr>
        <w:widowControl/>
        <w:spacing w:after="120" w:line="460" w:lineRule="exact"/>
        <w:ind w:firstLine="480" w:firstLineChars="200"/>
        <w:jc w:val="left"/>
        <w:rPr>
          <w:rFonts w:hint="eastAsia" w:ascii="宋体" w:hAnsi="宋体" w:cs="宋体"/>
          <w:bCs/>
          <w:color w:val="auto"/>
          <w:kern w:val="0"/>
          <w:sz w:val="24"/>
        </w:rPr>
      </w:pPr>
      <w:r>
        <w:rPr>
          <w:rFonts w:hint="eastAsia" w:ascii="宋体" w:hAnsi="宋体"/>
          <w:bCs/>
          <w:color w:val="auto"/>
          <w:kern w:val="0"/>
          <w:sz w:val="24"/>
        </w:rPr>
        <w:t>3</w:t>
      </w:r>
      <w:r>
        <w:rPr>
          <w:rFonts w:hint="eastAsia" w:ascii="宋体" w:hAnsi="宋体" w:cs="宋体"/>
          <w:bCs/>
          <w:color w:val="auto"/>
          <w:kern w:val="0"/>
          <w:sz w:val="24"/>
        </w:rPr>
        <w:t>、我方完全理解采购人不一定将合同授予最低报价的投标供应商的行为。</w:t>
      </w:r>
    </w:p>
    <w:p w14:paraId="5C0BC516">
      <w:pPr>
        <w:widowControl/>
        <w:spacing w:after="120" w:line="460" w:lineRule="exact"/>
        <w:ind w:firstLine="480" w:firstLineChars="200"/>
        <w:jc w:val="left"/>
        <w:rPr>
          <w:rFonts w:ascii="宋体" w:hAnsi="宋体" w:eastAsia="宋体" w:cs="宋体"/>
          <w:color w:val="auto"/>
          <w:sz w:val="24"/>
          <w:szCs w:val="24"/>
        </w:rPr>
      </w:pPr>
      <w:r>
        <w:rPr>
          <w:rFonts w:hint="eastAsia" w:ascii="宋体" w:hAnsi="宋体" w:cs="宋体"/>
          <w:bCs/>
          <w:color w:val="auto"/>
          <w:kern w:val="0"/>
          <w:sz w:val="24"/>
          <w:lang w:val="en-US" w:eastAsia="zh-CN"/>
        </w:rPr>
        <w:t>4、</w:t>
      </w:r>
      <w:r>
        <w:rPr>
          <w:rFonts w:ascii="宋体" w:hAnsi="宋体" w:eastAsia="宋体" w:cs="宋体"/>
          <w:color w:val="auto"/>
          <w:sz w:val="24"/>
          <w:szCs w:val="24"/>
        </w:rPr>
        <w:t>保证忠实地执行买卖双方所签经济合同，在合同生效后</w:t>
      </w:r>
      <w:r>
        <w:rPr>
          <w:rFonts w:hint="eastAsia" w:ascii="宋体" w:hAnsi="宋体" w:eastAsia="宋体" w:cs="宋体"/>
          <w:color w:val="auto"/>
          <w:sz w:val="24"/>
          <w:szCs w:val="24"/>
          <w:u w:val="single"/>
          <w:lang w:val="en-US" w:eastAsia="zh-CN"/>
        </w:rPr>
        <w:t xml:space="preserve">    </w:t>
      </w:r>
      <w:r>
        <w:rPr>
          <w:rFonts w:ascii="宋体" w:hAnsi="宋体" w:eastAsia="宋体" w:cs="宋体"/>
          <w:color w:val="auto"/>
          <w:sz w:val="24"/>
          <w:szCs w:val="24"/>
        </w:rPr>
        <w:t>日历天内完成供货、配 送、安装调试并一次性验收合格投入使用，并承担合同规定的责任义务；</w:t>
      </w:r>
    </w:p>
    <w:p w14:paraId="3136AAD5">
      <w:pPr>
        <w:widowControl/>
        <w:spacing w:after="120" w:line="460" w:lineRule="exact"/>
        <w:ind w:firstLine="480" w:firstLineChars="200"/>
        <w:jc w:val="left"/>
        <w:rPr>
          <w:rFonts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ascii="宋体" w:hAnsi="宋体" w:eastAsia="宋体" w:cs="宋体"/>
          <w:color w:val="auto"/>
          <w:sz w:val="24"/>
          <w:szCs w:val="24"/>
        </w:rPr>
        <w:t>本投标自开标之日起</w:t>
      </w:r>
      <w:r>
        <w:rPr>
          <w:rFonts w:hint="eastAsia" w:ascii="宋体" w:hAnsi="宋体" w:eastAsia="宋体" w:cs="宋体"/>
          <w:color w:val="auto"/>
          <w:sz w:val="24"/>
          <w:szCs w:val="24"/>
          <w:u w:val="single"/>
          <w:lang w:val="en-US" w:eastAsia="zh-CN"/>
        </w:rPr>
        <w:t xml:space="preserve">     </w:t>
      </w:r>
      <w:r>
        <w:rPr>
          <w:rFonts w:ascii="宋体" w:hAnsi="宋体" w:eastAsia="宋体" w:cs="宋体"/>
          <w:color w:val="auto"/>
          <w:sz w:val="24"/>
          <w:szCs w:val="24"/>
        </w:rPr>
        <w:t>日内有效，在此期间本报价书的规定对我方具有约束力。 如果我方投标文件被接受，至合同履行完、质保期满为止本投标文件保持有效；</w:t>
      </w:r>
    </w:p>
    <w:p w14:paraId="343FEC27">
      <w:pPr>
        <w:widowControl/>
        <w:spacing w:after="120" w:line="460" w:lineRule="exact"/>
        <w:ind w:firstLine="480" w:firstLineChars="200"/>
        <w:jc w:val="left"/>
        <w:rPr>
          <w:rFonts w:ascii="宋体" w:hAnsi="宋体" w:cs="宋体"/>
          <w:color w:val="auto"/>
          <w:kern w:val="0"/>
          <w:sz w:val="24"/>
        </w:rPr>
      </w:pPr>
      <w:r>
        <w:rPr>
          <w:rFonts w:hint="eastAsia" w:ascii="宋体" w:hAnsi="宋体" w:eastAsia="宋体" w:cs="宋体"/>
          <w:color w:val="auto"/>
          <w:sz w:val="24"/>
          <w:szCs w:val="24"/>
          <w:lang w:val="en-US" w:eastAsia="zh-CN"/>
        </w:rPr>
        <w:t>6、</w:t>
      </w:r>
      <w:r>
        <w:rPr>
          <w:rFonts w:ascii="宋体" w:hAnsi="宋体" w:eastAsia="宋体" w:cs="宋体"/>
          <w:color w:val="auto"/>
          <w:sz w:val="24"/>
          <w:szCs w:val="24"/>
        </w:rPr>
        <w:t>愿意向贵方提供任何与该项投标有关的商务、技术资料等</w:t>
      </w:r>
      <w:r>
        <w:rPr>
          <w:rFonts w:hint="eastAsia" w:ascii="宋体" w:hAnsi="宋体" w:eastAsia="宋体" w:cs="宋体"/>
          <w:color w:val="auto"/>
          <w:sz w:val="24"/>
          <w:szCs w:val="24"/>
          <w:lang w:eastAsia="zh-CN"/>
        </w:rPr>
        <w:t>。</w:t>
      </w:r>
    </w:p>
    <w:p w14:paraId="119FA1EE">
      <w:pPr>
        <w:widowControl/>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投标供应商名称（电子签章）：</w:t>
      </w:r>
      <w:r>
        <w:rPr>
          <w:rFonts w:ascii="宋体" w:hAnsi="宋体"/>
          <w:bCs/>
          <w:color w:val="auto"/>
          <w:kern w:val="0"/>
          <w:sz w:val="24"/>
          <w:u w:val="single"/>
        </w:rPr>
        <w:t xml:space="preserve">      </w:t>
      </w:r>
      <w:r>
        <w:rPr>
          <w:rFonts w:hint="eastAsia" w:ascii="宋体" w:hAnsi="宋体" w:cs="宋体"/>
          <w:bCs/>
          <w:color w:val="auto"/>
          <w:kern w:val="0"/>
          <w:sz w:val="24"/>
          <w:u w:val="single"/>
        </w:rPr>
        <w:t>　　　　　　　　　　　　 　</w:t>
      </w:r>
      <w:r>
        <w:rPr>
          <w:rFonts w:ascii="宋体" w:hAnsi="宋体"/>
          <w:bCs/>
          <w:color w:val="auto"/>
          <w:kern w:val="0"/>
          <w:sz w:val="24"/>
          <w:u w:val="single"/>
        </w:rPr>
        <w:t xml:space="preserve">  </w:t>
      </w:r>
    </w:p>
    <w:p w14:paraId="45351795">
      <w:pPr>
        <w:widowControl/>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法定代表人或授权代表人（电子签章）：</w:t>
      </w:r>
      <w:r>
        <w:rPr>
          <w:rFonts w:hint="eastAsia" w:ascii="宋体" w:hAnsi="宋体" w:cs="宋体"/>
          <w:bCs/>
          <w:color w:val="auto"/>
          <w:kern w:val="0"/>
          <w:sz w:val="24"/>
          <w:u w:val="single"/>
        </w:rPr>
        <w:t>　　　　　　　　　　</w:t>
      </w:r>
      <w:r>
        <w:rPr>
          <w:rFonts w:hint="eastAsia" w:ascii="宋体" w:hAnsi="宋体"/>
          <w:bCs/>
          <w:color w:val="auto"/>
          <w:kern w:val="0"/>
          <w:sz w:val="24"/>
          <w:u w:val="single"/>
        </w:rPr>
        <w:t xml:space="preserve"> </w:t>
      </w:r>
      <w:r>
        <w:rPr>
          <w:rFonts w:hint="eastAsia" w:ascii="宋体" w:hAnsi="宋体" w:cs="宋体"/>
          <w:bCs/>
          <w:color w:val="auto"/>
          <w:kern w:val="0"/>
          <w:sz w:val="24"/>
          <w:u w:val="single"/>
        </w:rPr>
        <w:t>　　　</w:t>
      </w:r>
    </w:p>
    <w:p w14:paraId="1ECF3AC3">
      <w:pPr>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通讯地址：</w:t>
      </w:r>
      <w:r>
        <w:rPr>
          <w:rFonts w:hint="eastAsia" w:ascii="宋体" w:hAnsi="宋体" w:cs="宋体"/>
          <w:bCs/>
          <w:color w:val="auto"/>
          <w:kern w:val="0"/>
          <w:sz w:val="24"/>
          <w:u w:val="single"/>
        </w:rPr>
        <w:t>　　　　　　　　　　　　　　　　　　　　　　 　　</w:t>
      </w:r>
    </w:p>
    <w:p w14:paraId="4AA0BB1B">
      <w:pPr>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邮政编码：</w:t>
      </w:r>
      <w:r>
        <w:rPr>
          <w:rFonts w:hint="eastAsia" w:ascii="宋体" w:hAnsi="宋体" w:cs="宋体"/>
          <w:bCs/>
          <w:color w:val="auto"/>
          <w:kern w:val="0"/>
          <w:sz w:val="24"/>
          <w:u w:val="single"/>
        </w:rPr>
        <w:t>　　　　　　　　　　　　　　　　　　　　　　 　　</w:t>
      </w:r>
    </w:p>
    <w:p w14:paraId="5D1CDF80">
      <w:pPr>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联系电话：</w:t>
      </w:r>
      <w:r>
        <w:rPr>
          <w:rFonts w:hint="eastAsia" w:ascii="宋体" w:hAnsi="宋体" w:cs="宋体"/>
          <w:bCs/>
          <w:color w:val="auto"/>
          <w:kern w:val="0"/>
          <w:sz w:val="24"/>
          <w:u w:val="single"/>
        </w:rPr>
        <w:t>　　　　　　　　　　　　　　　　　　　　　　 　　</w:t>
      </w:r>
    </w:p>
    <w:p w14:paraId="66D7C3CD">
      <w:pPr>
        <w:spacing w:after="120" w:line="520" w:lineRule="exact"/>
        <w:ind w:left="420" w:firstLine="480" w:firstLineChars="200"/>
        <w:jc w:val="left"/>
        <w:rPr>
          <w:rFonts w:ascii="宋体" w:hAnsi="宋体" w:cs="宋体"/>
          <w:color w:val="auto"/>
          <w:kern w:val="0"/>
          <w:sz w:val="24"/>
        </w:rPr>
      </w:pPr>
      <w:r>
        <w:rPr>
          <w:rFonts w:hint="eastAsia" w:ascii="宋体" w:hAnsi="宋体" w:cs="宋体"/>
          <w:bCs/>
          <w:color w:val="auto"/>
          <w:kern w:val="0"/>
          <w:sz w:val="24"/>
        </w:rPr>
        <w:t>传</w:t>
      </w:r>
      <w:r>
        <w:rPr>
          <w:rFonts w:ascii="宋体" w:hAnsi="宋体"/>
          <w:bCs/>
          <w:color w:val="auto"/>
          <w:kern w:val="0"/>
          <w:sz w:val="24"/>
        </w:rPr>
        <w:t xml:space="preserve">    </w:t>
      </w:r>
      <w:r>
        <w:rPr>
          <w:rFonts w:hint="eastAsia" w:ascii="宋体" w:hAnsi="宋体" w:cs="宋体"/>
          <w:bCs/>
          <w:color w:val="auto"/>
          <w:kern w:val="0"/>
          <w:sz w:val="24"/>
        </w:rPr>
        <w:t>真：</w:t>
      </w:r>
      <w:r>
        <w:rPr>
          <w:rFonts w:hint="eastAsia" w:ascii="宋体" w:hAnsi="宋体" w:cs="宋体"/>
          <w:bCs/>
          <w:color w:val="auto"/>
          <w:kern w:val="0"/>
          <w:sz w:val="24"/>
          <w:u w:val="single"/>
        </w:rPr>
        <w:t>　　　　　　　　　　　　　　　　　　　　　　 　　</w:t>
      </w:r>
    </w:p>
    <w:p w14:paraId="07568D09">
      <w:pPr>
        <w:spacing w:line="500" w:lineRule="exact"/>
        <w:ind w:firstLine="960" w:firstLineChars="400"/>
        <w:jc w:val="both"/>
        <w:rPr>
          <w:rFonts w:hint="eastAsia" w:ascii="宋体" w:hAnsi="宋体"/>
          <w:b/>
          <w:color w:val="auto"/>
          <w:sz w:val="30"/>
          <w:szCs w:val="30"/>
        </w:rPr>
      </w:pPr>
      <w:r>
        <w:rPr>
          <w:rFonts w:hint="eastAsia" w:ascii="宋体" w:hAnsi="宋体" w:cs="宋体"/>
          <w:bCs/>
          <w:color w:val="auto"/>
          <w:kern w:val="0"/>
          <w:sz w:val="24"/>
        </w:rPr>
        <w:t>日</w:t>
      </w:r>
      <w:r>
        <w:rPr>
          <w:rFonts w:ascii="宋体" w:hAnsi="宋体"/>
          <w:bCs/>
          <w:color w:val="auto"/>
          <w:kern w:val="0"/>
          <w:sz w:val="24"/>
        </w:rPr>
        <w:t xml:space="preserve">    </w:t>
      </w:r>
      <w:r>
        <w:rPr>
          <w:rFonts w:hint="eastAsia" w:ascii="宋体" w:hAnsi="宋体" w:cs="宋体"/>
          <w:bCs/>
          <w:color w:val="auto"/>
          <w:kern w:val="0"/>
          <w:sz w:val="24"/>
        </w:rPr>
        <w:t>期：</w:t>
      </w:r>
      <w:r>
        <w:rPr>
          <w:rFonts w:hint="eastAsia" w:ascii="宋体" w:hAnsi="宋体" w:cs="宋体"/>
          <w:bCs/>
          <w:color w:val="auto"/>
          <w:kern w:val="0"/>
          <w:sz w:val="24"/>
          <w:u w:val="single"/>
        </w:rPr>
        <w:t>　　　　　　　　　　　　　　　　　　　　　　 　　</w:t>
      </w:r>
    </w:p>
    <w:p w14:paraId="6F6D54D2">
      <w:pPr>
        <w:spacing w:line="500" w:lineRule="exact"/>
        <w:ind w:left="1081" w:leftChars="228" w:hanging="602" w:hangingChars="200"/>
        <w:jc w:val="center"/>
        <w:rPr>
          <w:rFonts w:hint="eastAsia" w:ascii="宋体" w:hAnsi="宋体"/>
          <w:b/>
          <w:color w:val="auto"/>
          <w:sz w:val="30"/>
          <w:szCs w:val="30"/>
        </w:rPr>
      </w:pPr>
    </w:p>
    <w:p w14:paraId="43DA8F0C">
      <w:pPr>
        <w:spacing w:line="500" w:lineRule="exact"/>
        <w:ind w:left="1081" w:leftChars="228" w:hanging="602" w:hangingChars="200"/>
        <w:jc w:val="center"/>
        <w:rPr>
          <w:rFonts w:hint="eastAsia" w:ascii="宋体" w:hAnsi="宋体"/>
          <w:b/>
          <w:color w:val="auto"/>
          <w:sz w:val="30"/>
          <w:szCs w:val="30"/>
        </w:rPr>
      </w:pPr>
      <w:r>
        <w:rPr>
          <w:rFonts w:hint="eastAsia" w:ascii="宋体" w:hAnsi="宋体"/>
          <w:b/>
          <w:color w:val="auto"/>
          <w:sz w:val="30"/>
          <w:szCs w:val="30"/>
        </w:rPr>
        <w:t>目录</w:t>
      </w:r>
    </w:p>
    <w:p w14:paraId="111F4E49">
      <w:pPr>
        <w:spacing w:line="360" w:lineRule="auto"/>
        <w:ind w:firstLine="361"/>
        <w:jc w:val="left"/>
        <w:rPr>
          <w:rFonts w:hint="eastAsia" w:ascii="宋体" w:hAnsi="宋体" w:cs="宋体"/>
          <w:bCs/>
          <w:color w:val="auto"/>
          <w:sz w:val="24"/>
        </w:rPr>
      </w:pPr>
      <w:r>
        <w:rPr>
          <w:rFonts w:hint="eastAsia" w:ascii="宋体" w:hAnsi="宋体" w:cs="宋体"/>
          <w:bCs/>
          <w:color w:val="auto"/>
          <w:sz w:val="24"/>
        </w:rPr>
        <w:t>报价一览表</w:t>
      </w:r>
    </w:p>
    <w:p w14:paraId="6C52359B">
      <w:pPr>
        <w:spacing w:line="360" w:lineRule="auto"/>
        <w:ind w:firstLine="361"/>
        <w:jc w:val="left"/>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投标函</w:t>
      </w:r>
    </w:p>
    <w:p w14:paraId="5672E57D">
      <w:pPr>
        <w:spacing w:line="360" w:lineRule="auto"/>
        <w:ind w:firstLine="361"/>
        <w:jc w:val="left"/>
        <w:rPr>
          <w:rFonts w:ascii="宋体" w:hAnsi="宋体"/>
          <w:color w:val="auto"/>
          <w:sz w:val="24"/>
        </w:rPr>
      </w:pPr>
      <w:r>
        <w:rPr>
          <w:rFonts w:hint="eastAsia" w:ascii="宋体" w:hAnsi="宋体"/>
          <w:b/>
          <w:bCs/>
          <w:color w:val="auto"/>
          <w:sz w:val="24"/>
        </w:rPr>
        <w:t>一、资格审查部分</w:t>
      </w:r>
      <w:r>
        <w:rPr>
          <w:rFonts w:hint="eastAsia" w:ascii="宋体" w:hAnsi="宋体"/>
          <w:color w:val="auto"/>
          <w:sz w:val="24"/>
        </w:rPr>
        <w:t xml:space="preserve"> </w:t>
      </w:r>
    </w:p>
    <w:p w14:paraId="32CF1581">
      <w:pPr>
        <w:spacing w:line="360" w:lineRule="auto"/>
        <w:ind w:firstLine="361"/>
        <w:jc w:val="left"/>
        <w:rPr>
          <w:rFonts w:ascii="宋体" w:hAnsi="宋体"/>
          <w:color w:val="auto"/>
          <w:sz w:val="24"/>
        </w:rPr>
      </w:pPr>
      <w:r>
        <w:rPr>
          <w:rFonts w:hint="eastAsia" w:ascii="宋体" w:hAnsi="宋体"/>
          <w:color w:val="auto"/>
          <w:sz w:val="24"/>
        </w:rPr>
        <w:t>（一）供应商基本情况表</w:t>
      </w:r>
    </w:p>
    <w:p w14:paraId="51A8C011">
      <w:pPr>
        <w:spacing w:line="360" w:lineRule="auto"/>
        <w:ind w:firstLine="361"/>
        <w:jc w:val="left"/>
        <w:rPr>
          <w:rFonts w:ascii="宋体" w:hAnsi="宋体"/>
          <w:color w:val="auto"/>
          <w:sz w:val="24"/>
        </w:rPr>
      </w:pPr>
      <w:r>
        <w:rPr>
          <w:rFonts w:hint="eastAsia" w:ascii="宋体" w:hAnsi="宋体"/>
          <w:color w:val="auto"/>
          <w:sz w:val="24"/>
        </w:rPr>
        <w:t>（二）资格条件承诺函</w:t>
      </w:r>
    </w:p>
    <w:p w14:paraId="009D54AB">
      <w:pPr>
        <w:spacing w:line="360" w:lineRule="auto"/>
        <w:ind w:firstLine="361"/>
        <w:jc w:val="left"/>
        <w:rPr>
          <w:rFonts w:ascii="宋体" w:hAnsi="宋体"/>
          <w:color w:val="auto"/>
          <w:sz w:val="24"/>
        </w:rPr>
      </w:pPr>
      <w:r>
        <w:rPr>
          <w:rFonts w:hint="eastAsia" w:ascii="宋体" w:hAnsi="宋体"/>
          <w:color w:val="auto"/>
          <w:sz w:val="24"/>
        </w:rPr>
        <w:t>（三）法定代表人身份证明书</w:t>
      </w:r>
    </w:p>
    <w:p w14:paraId="5E5A6D8E">
      <w:pPr>
        <w:spacing w:line="360" w:lineRule="auto"/>
        <w:ind w:firstLine="361"/>
        <w:jc w:val="left"/>
        <w:rPr>
          <w:rFonts w:ascii="宋体" w:hAnsi="宋体"/>
          <w:color w:val="auto"/>
          <w:sz w:val="24"/>
        </w:rPr>
      </w:pPr>
      <w:r>
        <w:rPr>
          <w:rFonts w:hint="eastAsia" w:ascii="宋体" w:hAnsi="宋体"/>
          <w:color w:val="auto"/>
          <w:sz w:val="24"/>
        </w:rPr>
        <w:t>（四）法定代表人授权委托书</w:t>
      </w:r>
    </w:p>
    <w:p w14:paraId="0BF5F812">
      <w:pPr>
        <w:spacing w:line="360" w:lineRule="auto"/>
        <w:ind w:firstLine="361"/>
        <w:jc w:val="left"/>
        <w:rPr>
          <w:rFonts w:ascii="宋体" w:hAnsi="宋体"/>
          <w:color w:val="auto"/>
          <w:sz w:val="24"/>
        </w:rPr>
      </w:pPr>
      <w:r>
        <w:rPr>
          <w:rFonts w:hint="eastAsia" w:ascii="宋体" w:hAnsi="宋体"/>
          <w:color w:val="auto"/>
          <w:sz w:val="24"/>
        </w:rPr>
        <w:t>（五）构成投标文件的其它资料</w:t>
      </w:r>
    </w:p>
    <w:p w14:paraId="54565FA5">
      <w:pPr>
        <w:spacing w:line="360" w:lineRule="auto"/>
        <w:ind w:firstLine="361"/>
        <w:jc w:val="left"/>
        <w:rPr>
          <w:rFonts w:ascii="宋体" w:hAnsi="宋体"/>
          <w:b/>
          <w:bCs/>
          <w:color w:val="auto"/>
          <w:sz w:val="24"/>
        </w:rPr>
      </w:pPr>
      <w:r>
        <w:rPr>
          <w:rFonts w:hint="eastAsia" w:ascii="宋体" w:hAnsi="宋体"/>
          <w:b/>
          <w:bCs/>
          <w:color w:val="auto"/>
          <w:sz w:val="24"/>
        </w:rPr>
        <w:t>二、报价部分</w:t>
      </w:r>
    </w:p>
    <w:p w14:paraId="4D1D4D48">
      <w:pPr>
        <w:spacing w:line="360" w:lineRule="auto"/>
        <w:ind w:firstLine="361"/>
        <w:jc w:val="left"/>
        <w:rPr>
          <w:rFonts w:ascii="宋体" w:hAnsi="宋体"/>
          <w:color w:val="auto"/>
          <w:sz w:val="24"/>
        </w:rPr>
      </w:pPr>
      <w:r>
        <w:rPr>
          <w:rFonts w:hint="eastAsia" w:ascii="宋体" w:hAnsi="宋体"/>
          <w:color w:val="auto"/>
          <w:sz w:val="24"/>
        </w:rPr>
        <w:t>（一）报价一览表</w:t>
      </w:r>
    </w:p>
    <w:p w14:paraId="13B9B160">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（二）报价组成明细表</w:t>
      </w:r>
    </w:p>
    <w:p w14:paraId="265B4111">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三</w:t>
      </w:r>
      <w:r>
        <w:rPr>
          <w:rFonts w:hint="eastAsia" w:ascii="宋体" w:hAnsi="宋体" w:eastAsia="宋体" w:cs="Times New Roman"/>
          <w:color w:val="auto"/>
          <w:sz w:val="24"/>
          <w:lang w:eastAsia="zh-CN"/>
        </w:rPr>
        <w:t>）</w:t>
      </w:r>
      <w:r>
        <w:rPr>
          <w:rFonts w:hint="eastAsia" w:ascii="宋体" w:hAnsi="宋体" w:eastAsia="宋体" w:cs="Times New Roman"/>
          <w:color w:val="auto"/>
          <w:sz w:val="24"/>
        </w:rPr>
        <w:t>规格、技术指标响应偏离表</w:t>
      </w:r>
    </w:p>
    <w:p w14:paraId="0C85E3C2">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四</w:t>
      </w:r>
      <w:r>
        <w:rPr>
          <w:rFonts w:hint="eastAsia" w:ascii="宋体" w:hAnsi="宋体" w:eastAsia="宋体" w:cs="Times New Roman"/>
          <w:color w:val="auto"/>
          <w:sz w:val="24"/>
        </w:rPr>
        <w:t>）商务条款偏离表</w:t>
      </w:r>
    </w:p>
    <w:p w14:paraId="32B00704">
      <w:pPr>
        <w:spacing w:line="360" w:lineRule="auto"/>
        <w:ind w:firstLine="361"/>
        <w:jc w:val="left"/>
        <w:rPr>
          <w:rFonts w:hint="eastAsia" w:ascii="宋体" w:hAnsi="宋体"/>
          <w:b/>
          <w:bCs/>
          <w:color w:val="auto"/>
          <w:sz w:val="24"/>
        </w:rPr>
      </w:pPr>
      <w:r>
        <w:rPr>
          <w:rFonts w:hint="eastAsia" w:ascii="宋体" w:hAnsi="宋体"/>
          <w:b/>
          <w:bCs/>
          <w:color w:val="auto"/>
          <w:sz w:val="24"/>
        </w:rPr>
        <w:t>三、</w:t>
      </w:r>
      <w:r>
        <w:rPr>
          <w:rFonts w:hint="eastAsia" w:ascii="宋体" w:hAnsi="宋体"/>
          <w:b/>
          <w:bCs/>
          <w:color w:val="auto"/>
          <w:sz w:val="24"/>
          <w:lang w:val="en-US" w:eastAsia="zh-CN"/>
        </w:rPr>
        <w:t>商务部分、</w:t>
      </w:r>
      <w:r>
        <w:rPr>
          <w:rFonts w:hint="eastAsia" w:ascii="宋体" w:hAnsi="宋体"/>
          <w:b/>
          <w:bCs/>
          <w:color w:val="auto"/>
          <w:sz w:val="24"/>
        </w:rPr>
        <w:t>技术部分</w:t>
      </w:r>
    </w:p>
    <w:p w14:paraId="55A195BB">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一</w:t>
      </w:r>
      <w:r>
        <w:rPr>
          <w:rFonts w:hint="eastAsia" w:ascii="宋体" w:hAnsi="宋体" w:eastAsia="宋体" w:cs="Times New Roman"/>
          <w:color w:val="auto"/>
          <w:sz w:val="24"/>
          <w:lang w:eastAsia="zh-CN"/>
        </w:rPr>
        <w:t>）</w:t>
      </w:r>
      <w:r>
        <w:rPr>
          <w:rFonts w:hint="eastAsia" w:ascii="宋体" w:hAnsi="宋体" w:eastAsia="宋体" w:cs="Times New Roman"/>
          <w:color w:val="auto"/>
          <w:sz w:val="24"/>
        </w:rPr>
        <w:t>投标产品的技术参数</w:t>
      </w:r>
    </w:p>
    <w:p w14:paraId="07693E97">
      <w:pPr>
        <w:spacing w:line="360" w:lineRule="auto"/>
        <w:ind w:firstLine="361"/>
        <w:jc w:val="left"/>
        <w:rPr>
          <w:rFonts w:hint="eastAsia" w:ascii="宋体" w:hAnsi="宋体" w:eastAsia="宋体" w:cs="Times New Roman"/>
          <w:color w:val="auto"/>
          <w:sz w:val="24"/>
          <w:lang w:eastAsia="zh-CN"/>
        </w:rPr>
      </w:pP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二</w:t>
      </w:r>
      <w:r>
        <w:rPr>
          <w:rFonts w:hint="eastAsia" w:ascii="宋体" w:hAnsi="宋体" w:eastAsia="宋体" w:cs="Times New Roman"/>
          <w:color w:val="auto"/>
          <w:sz w:val="24"/>
          <w:lang w:eastAsia="zh-CN"/>
        </w:rPr>
        <w:t>）</w:t>
      </w:r>
      <w:r>
        <w:rPr>
          <w:rFonts w:hint="eastAsia" w:ascii="宋体" w:hAnsi="宋体" w:eastAsia="宋体" w:cs="Times New Roman"/>
          <w:color w:val="auto"/>
          <w:sz w:val="24"/>
        </w:rPr>
        <w:t>售后服务承诺</w:t>
      </w:r>
    </w:p>
    <w:p w14:paraId="5EB2D26E">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三</w:t>
      </w:r>
      <w:r>
        <w:rPr>
          <w:rFonts w:hint="eastAsia" w:ascii="宋体" w:hAnsi="宋体" w:eastAsia="宋体" w:cs="Times New Roman"/>
          <w:color w:val="auto"/>
          <w:sz w:val="24"/>
        </w:rPr>
        <w:t>）项目</w:t>
      </w:r>
      <w:r>
        <w:rPr>
          <w:rFonts w:hint="eastAsia" w:ascii="宋体" w:hAnsi="宋体" w:eastAsia="宋体" w:cs="Times New Roman"/>
          <w:color w:val="auto"/>
          <w:sz w:val="24"/>
          <w:lang w:val="en-US" w:eastAsia="zh-CN"/>
        </w:rPr>
        <w:t>实施</w:t>
      </w:r>
      <w:r>
        <w:rPr>
          <w:rFonts w:hint="eastAsia" w:ascii="宋体" w:hAnsi="宋体" w:eastAsia="宋体" w:cs="Times New Roman"/>
          <w:color w:val="auto"/>
          <w:sz w:val="24"/>
        </w:rPr>
        <w:t>方案</w:t>
      </w:r>
    </w:p>
    <w:p w14:paraId="37319879">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四</w:t>
      </w:r>
      <w:r>
        <w:rPr>
          <w:rFonts w:hint="eastAsia" w:ascii="宋体" w:hAnsi="宋体" w:eastAsia="宋体" w:cs="Times New Roman"/>
          <w:color w:val="auto"/>
          <w:sz w:val="24"/>
        </w:rPr>
        <w:t>）培训方案</w:t>
      </w:r>
    </w:p>
    <w:p w14:paraId="42ED8E2B">
      <w:pPr>
        <w:spacing w:line="360" w:lineRule="auto"/>
        <w:ind w:firstLine="361"/>
        <w:jc w:val="left"/>
        <w:rPr>
          <w:rFonts w:hint="eastAsia"/>
          <w:color w:val="auto"/>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五</w:t>
      </w: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类似业绩</w:t>
      </w:r>
    </w:p>
    <w:p w14:paraId="645A8007">
      <w:pPr>
        <w:spacing w:line="360" w:lineRule="auto"/>
        <w:ind w:firstLine="361"/>
        <w:jc w:val="left"/>
        <w:rPr>
          <w:rFonts w:hint="eastAsia" w:ascii="宋体" w:hAnsi="宋体" w:eastAsia="宋体" w:cs="Times New Roman"/>
          <w:color w:val="auto"/>
          <w:sz w:val="24"/>
        </w:rPr>
      </w:pPr>
      <w:r>
        <w:rPr>
          <w:rFonts w:hint="eastAsia" w:ascii="宋体" w:hAnsi="宋体" w:eastAsia="宋体" w:cs="Times New Roman"/>
          <w:color w:val="auto"/>
          <w:sz w:val="24"/>
        </w:rPr>
        <w:t>（</w:t>
      </w:r>
      <w:r>
        <w:rPr>
          <w:rFonts w:hint="eastAsia" w:ascii="宋体" w:hAnsi="宋体" w:eastAsia="宋体" w:cs="Times New Roman"/>
          <w:color w:val="auto"/>
          <w:sz w:val="24"/>
          <w:lang w:val="en-US" w:eastAsia="zh-CN"/>
        </w:rPr>
        <w:t>六</w:t>
      </w:r>
      <w:r>
        <w:rPr>
          <w:rFonts w:hint="eastAsia" w:ascii="宋体" w:hAnsi="宋体" w:eastAsia="宋体" w:cs="Times New Roman"/>
          <w:color w:val="auto"/>
          <w:sz w:val="24"/>
        </w:rPr>
        <w:t>）投标人认为重要的其他资料</w:t>
      </w:r>
    </w:p>
    <w:p w14:paraId="4867B10E">
      <w:pPr>
        <w:rPr>
          <w:rFonts w:hint="eastAsia" w:ascii="宋体" w:hAnsi="宋体"/>
          <w:b/>
          <w:color w:val="auto"/>
          <w:sz w:val="24"/>
          <w:lang w:val="zh-CN"/>
        </w:rPr>
      </w:pPr>
    </w:p>
    <w:p w14:paraId="312F06AE">
      <w:pPr>
        <w:pStyle w:val="8"/>
        <w:rPr>
          <w:rFonts w:hint="eastAsia"/>
          <w:color w:val="auto"/>
        </w:rPr>
      </w:pPr>
    </w:p>
    <w:p w14:paraId="1D1B9C03">
      <w:pPr>
        <w:spacing w:line="500" w:lineRule="exact"/>
        <w:ind w:left="1081" w:leftChars="228" w:hanging="602" w:hangingChars="200"/>
        <w:jc w:val="center"/>
        <w:rPr>
          <w:rFonts w:hint="eastAsia" w:ascii="宋体" w:hAnsi="宋体"/>
          <w:b/>
          <w:color w:val="auto"/>
          <w:sz w:val="30"/>
          <w:szCs w:val="30"/>
        </w:rPr>
      </w:pPr>
    </w:p>
    <w:p w14:paraId="3532296D">
      <w:pPr>
        <w:spacing w:line="440" w:lineRule="exact"/>
        <w:ind w:firstLine="602" w:firstLineChars="250"/>
        <w:jc w:val="left"/>
        <w:rPr>
          <w:rFonts w:ascii="宋体" w:hAnsi="宋体" w:cs="宋体"/>
          <w:b/>
          <w:color w:val="auto"/>
          <w:kern w:val="0"/>
          <w:sz w:val="24"/>
        </w:rPr>
      </w:pPr>
      <w:r>
        <w:rPr>
          <w:rFonts w:hint="eastAsia" w:ascii="宋体" w:hAnsi="宋体" w:cs="宋体"/>
          <w:b/>
          <w:color w:val="auto"/>
          <w:kern w:val="0"/>
          <w:sz w:val="24"/>
        </w:rPr>
        <w:t>（目录仅供参考，投标供应商可自行扩充）</w:t>
      </w:r>
    </w:p>
    <w:p w14:paraId="2B149958">
      <w:pPr>
        <w:spacing w:line="500" w:lineRule="exact"/>
        <w:ind w:left="1081" w:leftChars="228" w:hanging="602" w:hangingChars="200"/>
        <w:jc w:val="center"/>
        <w:rPr>
          <w:rFonts w:hint="eastAsia" w:ascii="宋体" w:hAnsi="宋体"/>
          <w:b/>
          <w:color w:val="auto"/>
          <w:sz w:val="30"/>
          <w:szCs w:val="30"/>
        </w:rPr>
      </w:pPr>
    </w:p>
    <w:p w14:paraId="62B89114">
      <w:pPr>
        <w:spacing w:line="500" w:lineRule="exact"/>
        <w:ind w:left="1081" w:leftChars="228" w:hanging="602" w:hangingChars="200"/>
        <w:jc w:val="center"/>
        <w:rPr>
          <w:rFonts w:hint="eastAsia" w:ascii="宋体" w:hAnsi="宋体"/>
          <w:b/>
          <w:color w:val="auto"/>
          <w:sz w:val="30"/>
          <w:szCs w:val="30"/>
        </w:rPr>
      </w:pPr>
    </w:p>
    <w:p w14:paraId="04E5B807">
      <w:pPr>
        <w:spacing w:line="500" w:lineRule="exact"/>
        <w:ind w:left="1081" w:leftChars="228" w:hanging="602" w:hangingChars="200"/>
        <w:jc w:val="center"/>
        <w:rPr>
          <w:rFonts w:hint="eastAsia" w:ascii="宋体" w:hAnsi="宋体"/>
          <w:b/>
          <w:color w:val="auto"/>
          <w:sz w:val="30"/>
          <w:szCs w:val="30"/>
        </w:rPr>
      </w:pPr>
    </w:p>
    <w:p w14:paraId="44EE38D6">
      <w:pPr>
        <w:spacing w:line="500" w:lineRule="exact"/>
        <w:ind w:left="1081" w:leftChars="228" w:hanging="602" w:hangingChars="200"/>
        <w:jc w:val="center"/>
        <w:rPr>
          <w:rFonts w:hint="eastAsia" w:ascii="宋体" w:hAnsi="宋体"/>
          <w:b/>
          <w:color w:val="auto"/>
          <w:sz w:val="30"/>
          <w:szCs w:val="30"/>
        </w:rPr>
      </w:pPr>
    </w:p>
    <w:p w14:paraId="598697DC">
      <w:pPr>
        <w:spacing w:line="500" w:lineRule="exact"/>
        <w:jc w:val="both"/>
        <w:rPr>
          <w:rFonts w:hint="eastAsia" w:ascii="宋体" w:hAnsi="宋体"/>
          <w:b/>
          <w:color w:val="auto"/>
          <w:sz w:val="36"/>
          <w:szCs w:val="36"/>
          <w:lang w:val="en-US" w:eastAsia="zh-CN"/>
        </w:rPr>
      </w:pPr>
      <w:bookmarkStart w:id="106" w:name="_Toc259462336"/>
      <w:bookmarkStart w:id="107" w:name="_Toc217446083"/>
      <w:r>
        <w:rPr>
          <w:rFonts w:hint="eastAsia" w:ascii="宋体" w:hAnsi="宋体"/>
          <w:b/>
          <w:bCs/>
          <w:color w:val="auto"/>
          <w:sz w:val="32"/>
          <w:szCs w:val="32"/>
          <w:lang w:val="en-US" w:eastAsia="zh-CN"/>
        </w:rPr>
        <w:t>一、</w:t>
      </w:r>
      <w:r>
        <w:rPr>
          <w:rFonts w:hint="eastAsia" w:ascii="宋体" w:hAnsi="宋体"/>
          <w:b/>
          <w:bCs/>
          <w:color w:val="auto"/>
          <w:sz w:val="32"/>
          <w:szCs w:val="32"/>
        </w:rPr>
        <w:t>资格审查部分</w:t>
      </w:r>
    </w:p>
    <w:p w14:paraId="78BF2AB9">
      <w:pPr>
        <w:spacing w:line="500" w:lineRule="exact"/>
        <w:ind w:left="1081" w:leftChars="228" w:hanging="602" w:hangingChars="200"/>
        <w:jc w:val="center"/>
        <w:rPr>
          <w:rFonts w:hint="eastAsia" w:ascii="宋体" w:hAnsi="宋体"/>
          <w:b/>
          <w:color w:val="auto"/>
          <w:sz w:val="30"/>
          <w:szCs w:val="30"/>
        </w:rPr>
      </w:pPr>
      <w:r>
        <w:rPr>
          <w:rFonts w:hint="eastAsia" w:ascii="宋体" w:hAnsi="宋体"/>
          <w:b/>
          <w:color w:val="auto"/>
          <w:sz w:val="30"/>
          <w:szCs w:val="30"/>
          <w:lang w:val="en-US" w:eastAsia="zh-CN"/>
        </w:rPr>
        <w:t>1</w:t>
      </w:r>
      <w:r>
        <w:rPr>
          <w:rFonts w:hint="eastAsia" w:ascii="宋体" w:hAnsi="宋体"/>
          <w:b/>
          <w:color w:val="auto"/>
          <w:sz w:val="30"/>
          <w:szCs w:val="30"/>
        </w:rPr>
        <w:t>.投标人基本情况表</w:t>
      </w:r>
    </w:p>
    <w:tbl>
      <w:tblPr>
        <w:tblStyle w:val="2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335"/>
        <w:gridCol w:w="697"/>
        <w:gridCol w:w="1520"/>
        <w:gridCol w:w="1306"/>
        <w:gridCol w:w="1682"/>
      </w:tblGrid>
      <w:tr w14:paraId="227D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1D6AF7F7">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投标人名称</w:t>
            </w:r>
          </w:p>
        </w:tc>
        <w:tc>
          <w:tcPr>
            <w:tcW w:w="6540" w:type="dxa"/>
            <w:gridSpan w:val="5"/>
            <w:noWrap w:val="0"/>
            <w:vAlign w:val="center"/>
          </w:tcPr>
          <w:p w14:paraId="0218A94C">
            <w:pPr>
              <w:autoSpaceDE w:val="0"/>
              <w:autoSpaceDN w:val="0"/>
              <w:adjustRightInd w:val="0"/>
              <w:spacing w:line="360" w:lineRule="auto"/>
              <w:jc w:val="left"/>
              <w:rPr>
                <w:rFonts w:hint="eastAsia" w:ascii="宋体" w:hAnsi="宋体" w:cs="宋体"/>
                <w:color w:val="auto"/>
                <w:kern w:val="0"/>
                <w:sz w:val="24"/>
              </w:rPr>
            </w:pPr>
          </w:p>
        </w:tc>
      </w:tr>
      <w:tr w14:paraId="2A41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5D069E4A">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注册地址</w:t>
            </w:r>
          </w:p>
        </w:tc>
        <w:tc>
          <w:tcPr>
            <w:tcW w:w="3552" w:type="dxa"/>
            <w:gridSpan w:val="3"/>
            <w:noWrap w:val="0"/>
            <w:vAlign w:val="center"/>
          </w:tcPr>
          <w:p w14:paraId="78FD3020">
            <w:pPr>
              <w:autoSpaceDE w:val="0"/>
              <w:autoSpaceDN w:val="0"/>
              <w:adjustRightInd w:val="0"/>
              <w:spacing w:line="360" w:lineRule="auto"/>
              <w:jc w:val="left"/>
              <w:rPr>
                <w:rFonts w:hint="eastAsia" w:ascii="宋体" w:hAnsi="宋体" w:cs="宋体"/>
                <w:color w:val="auto"/>
                <w:kern w:val="0"/>
                <w:sz w:val="24"/>
              </w:rPr>
            </w:pPr>
          </w:p>
        </w:tc>
        <w:tc>
          <w:tcPr>
            <w:tcW w:w="1306" w:type="dxa"/>
            <w:noWrap w:val="0"/>
            <w:vAlign w:val="center"/>
          </w:tcPr>
          <w:p w14:paraId="0F951FD4">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邮政编码</w:t>
            </w:r>
          </w:p>
        </w:tc>
        <w:tc>
          <w:tcPr>
            <w:tcW w:w="1682" w:type="dxa"/>
            <w:noWrap w:val="0"/>
            <w:vAlign w:val="center"/>
          </w:tcPr>
          <w:p w14:paraId="3B1D678B">
            <w:pPr>
              <w:autoSpaceDE w:val="0"/>
              <w:autoSpaceDN w:val="0"/>
              <w:adjustRightInd w:val="0"/>
              <w:spacing w:line="360" w:lineRule="auto"/>
              <w:jc w:val="left"/>
              <w:rPr>
                <w:rFonts w:hint="eastAsia" w:ascii="宋体" w:hAnsi="宋体" w:cs="宋体"/>
                <w:color w:val="auto"/>
                <w:kern w:val="0"/>
                <w:sz w:val="24"/>
              </w:rPr>
            </w:pPr>
          </w:p>
        </w:tc>
      </w:tr>
      <w:tr w14:paraId="08D9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vMerge w:val="restart"/>
            <w:noWrap w:val="0"/>
            <w:vAlign w:val="center"/>
          </w:tcPr>
          <w:p w14:paraId="25902297">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联系方式</w:t>
            </w:r>
          </w:p>
        </w:tc>
        <w:tc>
          <w:tcPr>
            <w:tcW w:w="1335" w:type="dxa"/>
            <w:noWrap w:val="0"/>
            <w:vAlign w:val="center"/>
          </w:tcPr>
          <w:p w14:paraId="53C9A6C3">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联系人</w:t>
            </w:r>
          </w:p>
        </w:tc>
        <w:tc>
          <w:tcPr>
            <w:tcW w:w="2217" w:type="dxa"/>
            <w:gridSpan w:val="2"/>
            <w:noWrap w:val="0"/>
            <w:vAlign w:val="center"/>
          </w:tcPr>
          <w:p w14:paraId="50EBC4AE">
            <w:pPr>
              <w:autoSpaceDE w:val="0"/>
              <w:autoSpaceDN w:val="0"/>
              <w:adjustRightInd w:val="0"/>
              <w:spacing w:line="360" w:lineRule="auto"/>
              <w:jc w:val="left"/>
              <w:rPr>
                <w:rFonts w:hint="eastAsia" w:ascii="宋体" w:hAnsi="宋体" w:cs="宋体"/>
                <w:color w:val="auto"/>
                <w:kern w:val="0"/>
                <w:sz w:val="24"/>
              </w:rPr>
            </w:pPr>
          </w:p>
        </w:tc>
        <w:tc>
          <w:tcPr>
            <w:tcW w:w="1306" w:type="dxa"/>
            <w:noWrap w:val="0"/>
            <w:vAlign w:val="center"/>
          </w:tcPr>
          <w:p w14:paraId="1EEC0FF4">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电 话</w:t>
            </w:r>
          </w:p>
        </w:tc>
        <w:tc>
          <w:tcPr>
            <w:tcW w:w="1682" w:type="dxa"/>
            <w:noWrap w:val="0"/>
            <w:vAlign w:val="center"/>
          </w:tcPr>
          <w:p w14:paraId="23522E8D">
            <w:pPr>
              <w:autoSpaceDE w:val="0"/>
              <w:autoSpaceDN w:val="0"/>
              <w:adjustRightInd w:val="0"/>
              <w:spacing w:line="360" w:lineRule="auto"/>
              <w:jc w:val="left"/>
              <w:rPr>
                <w:rFonts w:hint="eastAsia" w:ascii="宋体" w:hAnsi="宋体" w:cs="宋体"/>
                <w:color w:val="auto"/>
                <w:kern w:val="0"/>
                <w:sz w:val="24"/>
              </w:rPr>
            </w:pPr>
          </w:p>
        </w:tc>
      </w:tr>
      <w:tr w14:paraId="7763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vMerge w:val="continue"/>
            <w:noWrap w:val="0"/>
            <w:vAlign w:val="center"/>
          </w:tcPr>
          <w:p w14:paraId="07EE2E31">
            <w:pPr>
              <w:autoSpaceDE w:val="0"/>
              <w:autoSpaceDN w:val="0"/>
              <w:adjustRightInd w:val="0"/>
              <w:spacing w:line="360" w:lineRule="auto"/>
              <w:jc w:val="left"/>
              <w:rPr>
                <w:rFonts w:hint="eastAsia" w:ascii="宋体" w:hAnsi="宋体" w:cs="宋体"/>
                <w:color w:val="auto"/>
                <w:kern w:val="0"/>
                <w:sz w:val="24"/>
              </w:rPr>
            </w:pPr>
          </w:p>
        </w:tc>
        <w:tc>
          <w:tcPr>
            <w:tcW w:w="1335" w:type="dxa"/>
            <w:noWrap w:val="0"/>
            <w:vAlign w:val="center"/>
          </w:tcPr>
          <w:p w14:paraId="097E6DC8">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传 真</w:t>
            </w:r>
          </w:p>
        </w:tc>
        <w:tc>
          <w:tcPr>
            <w:tcW w:w="2217" w:type="dxa"/>
            <w:gridSpan w:val="2"/>
            <w:noWrap w:val="0"/>
            <w:vAlign w:val="center"/>
          </w:tcPr>
          <w:p w14:paraId="7F77A56D">
            <w:pPr>
              <w:autoSpaceDE w:val="0"/>
              <w:autoSpaceDN w:val="0"/>
              <w:adjustRightInd w:val="0"/>
              <w:spacing w:line="360" w:lineRule="auto"/>
              <w:jc w:val="left"/>
              <w:rPr>
                <w:rFonts w:hint="eastAsia" w:ascii="宋体" w:hAnsi="宋体" w:cs="宋体"/>
                <w:color w:val="auto"/>
                <w:kern w:val="0"/>
                <w:sz w:val="24"/>
              </w:rPr>
            </w:pPr>
          </w:p>
        </w:tc>
        <w:tc>
          <w:tcPr>
            <w:tcW w:w="1306" w:type="dxa"/>
            <w:noWrap w:val="0"/>
            <w:vAlign w:val="center"/>
          </w:tcPr>
          <w:p w14:paraId="065DAE9B">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网 址</w:t>
            </w:r>
          </w:p>
        </w:tc>
        <w:tc>
          <w:tcPr>
            <w:tcW w:w="1682" w:type="dxa"/>
            <w:noWrap w:val="0"/>
            <w:vAlign w:val="center"/>
          </w:tcPr>
          <w:p w14:paraId="32B6A46E">
            <w:pPr>
              <w:autoSpaceDE w:val="0"/>
              <w:autoSpaceDN w:val="0"/>
              <w:adjustRightInd w:val="0"/>
              <w:spacing w:line="360" w:lineRule="auto"/>
              <w:jc w:val="left"/>
              <w:rPr>
                <w:rFonts w:hint="eastAsia" w:ascii="宋体" w:hAnsi="宋体" w:cs="宋体"/>
                <w:color w:val="auto"/>
                <w:kern w:val="0"/>
                <w:sz w:val="24"/>
              </w:rPr>
            </w:pPr>
          </w:p>
        </w:tc>
      </w:tr>
      <w:tr w14:paraId="7ABC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09231A5B">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法定代表人</w:t>
            </w:r>
          </w:p>
        </w:tc>
        <w:tc>
          <w:tcPr>
            <w:tcW w:w="1335" w:type="dxa"/>
            <w:noWrap w:val="0"/>
            <w:vAlign w:val="center"/>
          </w:tcPr>
          <w:p w14:paraId="5A088240">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姓名</w:t>
            </w:r>
          </w:p>
        </w:tc>
        <w:tc>
          <w:tcPr>
            <w:tcW w:w="2217" w:type="dxa"/>
            <w:gridSpan w:val="2"/>
            <w:noWrap w:val="0"/>
            <w:vAlign w:val="center"/>
          </w:tcPr>
          <w:p w14:paraId="644242F1">
            <w:pPr>
              <w:autoSpaceDE w:val="0"/>
              <w:autoSpaceDN w:val="0"/>
              <w:adjustRightInd w:val="0"/>
              <w:spacing w:line="360" w:lineRule="auto"/>
              <w:jc w:val="left"/>
              <w:rPr>
                <w:rFonts w:hint="eastAsia" w:ascii="宋体" w:hAnsi="宋体" w:cs="宋体"/>
                <w:color w:val="auto"/>
                <w:kern w:val="0"/>
                <w:sz w:val="24"/>
              </w:rPr>
            </w:pPr>
          </w:p>
        </w:tc>
        <w:tc>
          <w:tcPr>
            <w:tcW w:w="1306" w:type="dxa"/>
            <w:noWrap w:val="0"/>
            <w:vAlign w:val="center"/>
          </w:tcPr>
          <w:p w14:paraId="00F6D6D5">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电话</w:t>
            </w:r>
          </w:p>
        </w:tc>
        <w:tc>
          <w:tcPr>
            <w:tcW w:w="1682" w:type="dxa"/>
            <w:noWrap w:val="0"/>
            <w:vAlign w:val="center"/>
          </w:tcPr>
          <w:p w14:paraId="6EB005A4">
            <w:pPr>
              <w:autoSpaceDE w:val="0"/>
              <w:autoSpaceDN w:val="0"/>
              <w:adjustRightInd w:val="0"/>
              <w:spacing w:line="360" w:lineRule="auto"/>
              <w:jc w:val="left"/>
              <w:rPr>
                <w:rFonts w:hint="eastAsia" w:ascii="宋体" w:hAnsi="宋体" w:cs="宋体"/>
                <w:color w:val="auto"/>
                <w:kern w:val="0"/>
                <w:sz w:val="24"/>
              </w:rPr>
            </w:pPr>
          </w:p>
        </w:tc>
      </w:tr>
      <w:tr w14:paraId="46B5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19DEECFE">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成立时间</w:t>
            </w:r>
          </w:p>
        </w:tc>
        <w:tc>
          <w:tcPr>
            <w:tcW w:w="2032" w:type="dxa"/>
            <w:gridSpan w:val="2"/>
            <w:noWrap w:val="0"/>
            <w:vAlign w:val="center"/>
          </w:tcPr>
          <w:p w14:paraId="698031DA">
            <w:pPr>
              <w:autoSpaceDE w:val="0"/>
              <w:autoSpaceDN w:val="0"/>
              <w:adjustRightInd w:val="0"/>
              <w:spacing w:line="360" w:lineRule="auto"/>
              <w:jc w:val="left"/>
              <w:rPr>
                <w:rFonts w:hint="eastAsia" w:ascii="宋体" w:hAnsi="宋体" w:cs="宋体"/>
                <w:color w:val="auto"/>
                <w:kern w:val="0"/>
                <w:sz w:val="24"/>
              </w:rPr>
            </w:pPr>
          </w:p>
        </w:tc>
        <w:tc>
          <w:tcPr>
            <w:tcW w:w="4508" w:type="dxa"/>
            <w:gridSpan w:val="3"/>
            <w:noWrap w:val="0"/>
            <w:vAlign w:val="center"/>
          </w:tcPr>
          <w:p w14:paraId="2F0C398E">
            <w:pPr>
              <w:autoSpaceDE w:val="0"/>
              <w:autoSpaceDN w:val="0"/>
              <w:adjustRightInd w:val="0"/>
              <w:spacing w:line="360" w:lineRule="auto"/>
              <w:ind w:firstLine="960" w:firstLineChars="400"/>
              <w:jc w:val="left"/>
              <w:rPr>
                <w:rFonts w:hint="eastAsia" w:ascii="宋体" w:hAnsi="宋体" w:cs="宋体"/>
                <w:color w:val="auto"/>
                <w:kern w:val="0"/>
                <w:sz w:val="24"/>
              </w:rPr>
            </w:pPr>
            <w:r>
              <w:rPr>
                <w:rFonts w:hint="eastAsia" w:ascii="宋体" w:hAnsi="宋体" w:cs="宋体"/>
                <w:color w:val="auto"/>
                <w:kern w:val="0"/>
                <w:sz w:val="24"/>
              </w:rPr>
              <w:t>员工总人数：</w:t>
            </w:r>
          </w:p>
        </w:tc>
      </w:tr>
      <w:tr w14:paraId="6078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0D60DC74">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营业执照号</w:t>
            </w:r>
          </w:p>
        </w:tc>
        <w:tc>
          <w:tcPr>
            <w:tcW w:w="6540" w:type="dxa"/>
            <w:gridSpan w:val="5"/>
            <w:noWrap w:val="0"/>
            <w:vAlign w:val="center"/>
          </w:tcPr>
          <w:p w14:paraId="1137B82A">
            <w:pPr>
              <w:autoSpaceDE w:val="0"/>
              <w:autoSpaceDN w:val="0"/>
              <w:adjustRightInd w:val="0"/>
              <w:spacing w:line="360" w:lineRule="auto"/>
              <w:jc w:val="left"/>
              <w:rPr>
                <w:rFonts w:hint="eastAsia" w:ascii="宋体" w:hAnsi="宋体" w:cs="宋体"/>
                <w:color w:val="auto"/>
                <w:kern w:val="0"/>
                <w:sz w:val="24"/>
              </w:rPr>
            </w:pPr>
          </w:p>
        </w:tc>
      </w:tr>
      <w:tr w14:paraId="5B0D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418177EA">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注册资金</w:t>
            </w:r>
          </w:p>
        </w:tc>
        <w:tc>
          <w:tcPr>
            <w:tcW w:w="6540" w:type="dxa"/>
            <w:gridSpan w:val="5"/>
            <w:noWrap w:val="0"/>
            <w:vAlign w:val="center"/>
          </w:tcPr>
          <w:p w14:paraId="1BEA52AA">
            <w:pPr>
              <w:autoSpaceDE w:val="0"/>
              <w:autoSpaceDN w:val="0"/>
              <w:adjustRightInd w:val="0"/>
              <w:spacing w:line="360" w:lineRule="auto"/>
              <w:jc w:val="left"/>
              <w:rPr>
                <w:rFonts w:hint="eastAsia" w:ascii="宋体" w:hAnsi="宋体" w:cs="宋体"/>
                <w:color w:val="auto"/>
                <w:kern w:val="0"/>
                <w:sz w:val="24"/>
              </w:rPr>
            </w:pPr>
          </w:p>
        </w:tc>
      </w:tr>
      <w:tr w14:paraId="535A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4CBF247D">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开户银行</w:t>
            </w:r>
          </w:p>
        </w:tc>
        <w:tc>
          <w:tcPr>
            <w:tcW w:w="6540" w:type="dxa"/>
            <w:gridSpan w:val="5"/>
            <w:noWrap w:val="0"/>
            <w:vAlign w:val="center"/>
          </w:tcPr>
          <w:p w14:paraId="566B10ED">
            <w:pPr>
              <w:autoSpaceDE w:val="0"/>
              <w:autoSpaceDN w:val="0"/>
              <w:adjustRightInd w:val="0"/>
              <w:spacing w:line="360" w:lineRule="auto"/>
              <w:jc w:val="left"/>
              <w:rPr>
                <w:rFonts w:hint="eastAsia" w:ascii="宋体" w:hAnsi="宋体" w:cs="宋体"/>
                <w:color w:val="auto"/>
                <w:kern w:val="0"/>
                <w:sz w:val="24"/>
              </w:rPr>
            </w:pPr>
          </w:p>
        </w:tc>
      </w:tr>
      <w:tr w14:paraId="6F06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noWrap w:val="0"/>
            <w:vAlign w:val="center"/>
          </w:tcPr>
          <w:p w14:paraId="590CB0F3">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账号</w:t>
            </w:r>
          </w:p>
        </w:tc>
        <w:tc>
          <w:tcPr>
            <w:tcW w:w="6540" w:type="dxa"/>
            <w:gridSpan w:val="5"/>
            <w:noWrap w:val="0"/>
            <w:vAlign w:val="center"/>
          </w:tcPr>
          <w:p w14:paraId="0A8807F8">
            <w:pPr>
              <w:autoSpaceDE w:val="0"/>
              <w:autoSpaceDN w:val="0"/>
              <w:adjustRightInd w:val="0"/>
              <w:spacing w:line="360" w:lineRule="auto"/>
              <w:jc w:val="left"/>
              <w:rPr>
                <w:rFonts w:hint="eastAsia" w:ascii="宋体" w:hAnsi="宋体" w:cs="宋体"/>
                <w:color w:val="auto"/>
                <w:kern w:val="0"/>
                <w:sz w:val="24"/>
              </w:rPr>
            </w:pPr>
          </w:p>
        </w:tc>
      </w:tr>
      <w:tr w14:paraId="229A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960" w:type="dxa"/>
            <w:noWrap w:val="0"/>
            <w:vAlign w:val="center"/>
          </w:tcPr>
          <w:p w14:paraId="55DA1A37">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经营范围</w:t>
            </w:r>
          </w:p>
        </w:tc>
        <w:tc>
          <w:tcPr>
            <w:tcW w:w="6540" w:type="dxa"/>
            <w:gridSpan w:val="5"/>
            <w:noWrap w:val="0"/>
            <w:vAlign w:val="center"/>
          </w:tcPr>
          <w:p w14:paraId="468A1031">
            <w:pPr>
              <w:autoSpaceDE w:val="0"/>
              <w:autoSpaceDN w:val="0"/>
              <w:adjustRightInd w:val="0"/>
              <w:spacing w:line="360" w:lineRule="auto"/>
              <w:jc w:val="left"/>
              <w:rPr>
                <w:rFonts w:hint="eastAsia" w:ascii="宋体" w:hAnsi="宋体" w:cs="宋体"/>
                <w:color w:val="auto"/>
                <w:kern w:val="0"/>
                <w:sz w:val="24"/>
              </w:rPr>
            </w:pPr>
          </w:p>
        </w:tc>
      </w:tr>
      <w:tr w14:paraId="0F5E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960" w:type="dxa"/>
            <w:noWrap w:val="0"/>
            <w:vAlign w:val="center"/>
          </w:tcPr>
          <w:p w14:paraId="0167372E">
            <w:pPr>
              <w:autoSpaceDE w:val="0"/>
              <w:autoSpaceDN w:val="0"/>
              <w:adjustRightInd w:val="0"/>
              <w:spacing w:line="360" w:lineRule="auto"/>
              <w:jc w:val="left"/>
              <w:rPr>
                <w:rFonts w:hint="eastAsia" w:ascii="宋体" w:hAnsi="宋体" w:cs="宋体"/>
                <w:color w:val="auto"/>
                <w:kern w:val="0"/>
                <w:sz w:val="24"/>
              </w:rPr>
            </w:pPr>
            <w:r>
              <w:rPr>
                <w:rFonts w:hint="eastAsia" w:ascii="宋体" w:hAnsi="宋体" w:cs="宋体"/>
                <w:color w:val="auto"/>
                <w:kern w:val="0"/>
                <w:sz w:val="24"/>
              </w:rPr>
              <w:t>备注</w:t>
            </w:r>
          </w:p>
        </w:tc>
        <w:tc>
          <w:tcPr>
            <w:tcW w:w="6540" w:type="dxa"/>
            <w:gridSpan w:val="5"/>
            <w:noWrap w:val="0"/>
            <w:vAlign w:val="center"/>
          </w:tcPr>
          <w:p w14:paraId="1A933EE4">
            <w:pPr>
              <w:autoSpaceDE w:val="0"/>
              <w:autoSpaceDN w:val="0"/>
              <w:adjustRightInd w:val="0"/>
              <w:spacing w:line="360" w:lineRule="auto"/>
              <w:jc w:val="left"/>
              <w:rPr>
                <w:rFonts w:hint="eastAsia" w:ascii="宋体" w:hAnsi="宋体" w:cs="宋体"/>
                <w:color w:val="auto"/>
                <w:kern w:val="0"/>
                <w:sz w:val="24"/>
              </w:rPr>
            </w:pPr>
          </w:p>
        </w:tc>
      </w:tr>
    </w:tbl>
    <w:p w14:paraId="54CA256E">
      <w:pPr>
        <w:pStyle w:val="14"/>
        <w:rPr>
          <w:rFonts w:ascii="宋体" w:hAnsi="宋体" w:cs="宋体"/>
          <w:b/>
          <w:color w:val="auto"/>
          <w:kern w:val="0"/>
          <w:sz w:val="28"/>
          <w:szCs w:val="28"/>
        </w:rPr>
      </w:pPr>
    </w:p>
    <w:p w14:paraId="2EB7328F">
      <w:pPr>
        <w:pStyle w:val="14"/>
        <w:rPr>
          <w:rFonts w:hint="default" w:ascii="宋体" w:hAnsi="宋体" w:eastAsia="宋体" w:cs="宋体"/>
          <w:b/>
          <w:color w:val="auto"/>
          <w:kern w:val="0"/>
          <w:sz w:val="24"/>
          <w:szCs w:val="24"/>
          <w:lang w:val="en-US" w:eastAsia="zh-CN"/>
        </w:rPr>
      </w:pPr>
      <w:r>
        <w:rPr>
          <w:rFonts w:hint="eastAsia" w:ascii="宋体" w:hAnsi="宋体" w:cs="宋体"/>
          <w:b/>
          <w:color w:val="auto"/>
          <w:kern w:val="0"/>
          <w:sz w:val="24"/>
          <w:szCs w:val="24"/>
        </w:rPr>
        <w:t>附：企业统一社会信用代码证等</w:t>
      </w:r>
      <w:r>
        <w:rPr>
          <w:rFonts w:hint="eastAsia" w:ascii="宋体" w:hAnsi="宋体" w:cs="宋体"/>
          <w:b/>
          <w:color w:val="auto"/>
          <w:kern w:val="0"/>
          <w:sz w:val="24"/>
          <w:szCs w:val="24"/>
          <w:lang w:val="en-US" w:eastAsia="zh-CN"/>
        </w:rPr>
        <w:t>证明材料</w:t>
      </w:r>
    </w:p>
    <w:p w14:paraId="7E8CDD82">
      <w:pPr>
        <w:pStyle w:val="14"/>
        <w:rPr>
          <w:rFonts w:ascii="宋体" w:hAnsi="宋体" w:cs="宋体"/>
          <w:b/>
          <w:color w:val="auto"/>
          <w:kern w:val="0"/>
          <w:sz w:val="28"/>
          <w:szCs w:val="28"/>
        </w:rPr>
      </w:pPr>
    </w:p>
    <w:p w14:paraId="21684D5E">
      <w:pPr>
        <w:pStyle w:val="14"/>
        <w:rPr>
          <w:rFonts w:ascii="宋体" w:hAnsi="宋体" w:cs="宋体"/>
          <w:b/>
          <w:color w:val="auto"/>
          <w:kern w:val="0"/>
          <w:sz w:val="28"/>
          <w:szCs w:val="28"/>
        </w:rPr>
      </w:pPr>
    </w:p>
    <w:p w14:paraId="7F6C4705">
      <w:pPr>
        <w:spacing w:line="360" w:lineRule="auto"/>
        <w:jc w:val="center"/>
        <w:rPr>
          <w:rFonts w:ascii="宋体" w:hAnsi="宋体" w:cs="宋体"/>
          <w:b/>
          <w:color w:val="auto"/>
          <w:kern w:val="0"/>
          <w:sz w:val="28"/>
          <w:szCs w:val="28"/>
        </w:rPr>
      </w:pPr>
    </w:p>
    <w:p w14:paraId="6AAFD5B1">
      <w:pPr>
        <w:spacing w:line="360" w:lineRule="auto"/>
        <w:jc w:val="center"/>
        <w:rPr>
          <w:rFonts w:ascii="宋体" w:hAnsi="宋体" w:cs="宋体"/>
          <w:b/>
          <w:color w:val="auto"/>
          <w:kern w:val="0"/>
          <w:sz w:val="28"/>
          <w:szCs w:val="28"/>
        </w:rPr>
      </w:pPr>
    </w:p>
    <w:p w14:paraId="68F043D0">
      <w:pPr>
        <w:rPr>
          <w:color w:val="auto"/>
        </w:rPr>
      </w:pPr>
    </w:p>
    <w:p w14:paraId="4235CF0C">
      <w:pPr>
        <w:spacing w:line="500" w:lineRule="exact"/>
        <w:ind w:left="1081" w:leftChars="228" w:hanging="602" w:hangingChars="200"/>
        <w:jc w:val="center"/>
        <w:rPr>
          <w:rFonts w:ascii="宋体" w:hAnsi="宋体" w:cs="宋体"/>
          <w:b/>
          <w:color w:val="auto"/>
          <w:sz w:val="30"/>
          <w:szCs w:val="30"/>
        </w:rPr>
      </w:pPr>
      <w:r>
        <w:rPr>
          <w:rFonts w:hint="eastAsia" w:ascii="宋体" w:hAnsi="宋体" w:cs="宋体"/>
          <w:b/>
          <w:color w:val="auto"/>
          <w:sz w:val="30"/>
          <w:szCs w:val="30"/>
          <w:lang w:val="en-US" w:eastAsia="zh-CN"/>
        </w:rPr>
        <w:t>2.</w:t>
      </w:r>
      <w:r>
        <w:rPr>
          <w:rFonts w:hint="eastAsia" w:ascii="宋体" w:hAnsi="宋体" w:cs="宋体"/>
          <w:b/>
          <w:color w:val="auto"/>
          <w:sz w:val="30"/>
          <w:szCs w:val="30"/>
        </w:rPr>
        <w:t>资格条件承诺函</w:t>
      </w:r>
    </w:p>
    <w:p w14:paraId="5D155E89">
      <w:pPr>
        <w:spacing w:line="520" w:lineRule="exact"/>
        <w:ind w:firstLine="480" w:firstLineChars="200"/>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 xml:space="preserve">               （供应商名称）</w:t>
      </w:r>
      <w:r>
        <w:rPr>
          <w:rFonts w:hint="eastAsia" w:ascii="宋体" w:hAnsi="宋体" w:cs="宋体"/>
          <w:color w:val="auto"/>
          <w:sz w:val="24"/>
        </w:rPr>
        <w:t>符合《中华人民共和国政府采购法》第二十二条规定条件，具体包括：</w:t>
      </w:r>
    </w:p>
    <w:p w14:paraId="026E9954">
      <w:pPr>
        <w:spacing w:line="520" w:lineRule="exact"/>
        <w:ind w:firstLine="480" w:firstLineChars="200"/>
        <w:rPr>
          <w:rFonts w:ascii="宋体" w:hAnsi="宋体" w:cs="宋体"/>
          <w:color w:val="auto"/>
          <w:sz w:val="24"/>
        </w:rPr>
      </w:pPr>
      <w:r>
        <w:rPr>
          <w:rFonts w:hint="eastAsia" w:ascii="宋体" w:hAnsi="宋体" w:cs="宋体"/>
          <w:color w:val="auto"/>
          <w:sz w:val="24"/>
        </w:rPr>
        <w:t>1.具有独立承担民事责任的能力；</w:t>
      </w:r>
    </w:p>
    <w:p w14:paraId="5C6E2B2C">
      <w:pPr>
        <w:spacing w:line="520" w:lineRule="exact"/>
        <w:ind w:firstLine="480" w:firstLineChars="200"/>
        <w:rPr>
          <w:rFonts w:ascii="宋体" w:hAnsi="宋体" w:cs="宋体"/>
          <w:color w:val="auto"/>
          <w:sz w:val="24"/>
        </w:rPr>
      </w:pPr>
      <w:r>
        <w:rPr>
          <w:rFonts w:hint="eastAsia" w:ascii="宋体" w:hAnsi="宋体" w:cs="宋体"/>
          <w:color w:val="auto"/>
          <w:sz w:val="24"/>
        </w:rPr>
        <w:t>2.具有良好的商业信誉和健全的财务会计制度；</w:t>
      </w:r>
    </w:p>
    <w:p w14:paraId="2A3BE697">
      <w:pPr>
        <w:spacing w:line="520" w:lineRule="exact"/>
        <w:ind w:firstLine="480" w:firstLineChars="200"/>
        <w:rPr>
          <w:rFonts w:ascii="宋体" w:hAnsi="宋体" w:cs="宋体"/>
          <w:color w:val="auto"/>
          <w:sz w:val="24"/>
        </w:rPr>
      </w:pPr>
      <w:r>
        <w:rPr>
          <w:rFonts w:hint="eastAsia" w:ascii="宋体" w:hAnsi="宋体" w:cs="宋体"/>
          <w:color w:val="auto"/>
          <w:sz w:val="24"/>
        </w:rPr>
        <w:t>3.有依法缴纳税收和社会保障资金的良好记录；</w:t>
      </w:r>
    </w:p>
    <w:p w14:paraId="52EC45D6">
      <w:pPr>
        <w:spacing w:line="520" w:lineRule="exact"/>
        <w:ind w:firstLine="480" w:firstLineChars="200"/>
        <w:rPr>
          <w:rFonts w:ascii="宋体" w:hAnsi="宋体" w:cs="宋体"/>
          <w:color w:val="auto"/>
          <w:sz w:val="24"/>
        </w:rPr>
      </w:pPr>
      <w:r>
        <w:rPr>
          <w:rFonts w:hint="eastAsia" w:ascii="宋体" w:hAnsi="宋体" w:cs="宋体"/>
          <w:color w:val="auto"/>
          <w:sz w:val="24"/>
        </w:rPr>
        <w:t>4.具有履行合同所必需的设备和专业技术能力；</w:t>
      </w:r>
    </w:p>
    <w:p w14:paraId="509D09D3">
      <w:pPr>
        <w:spacing w:line="520" w:lineRule="exact"/>
        <w:ind w:firstLine="480" w:firstLineChars="200"/>
        <w:rPr>
          <w:rFonts w:ascii="宋体" w:hAnsi="宋体" w:cs="宋体"/>
          <w:color w:val="auto"/>
          <w:sz w:val="24"/>
        </w:rPr>
      </w:pPr>
      <w:r>
        <w:rPr>
          <w:rFonts w:hint="eastAsia" w:ascii="宋体" w:hAnsi="宋体" w:cs="宋体"/>
          <w:color w:val="auto"/>
          <w:sz w:val="24"/>
        </w:rPr>
        <w:t>5.参加本次政府采购活动前三年内，在经营活动中没有重大违法记录；</w:t>
      </w:r>
    </w:p>
    <w:p w14:paraId="2E8C2CDE">
      <w:pPr>
        <w:spacing w:line="520" w:lineRule="exact"/>
        <w:ind w:firstLine="480" w:firstLineChars="200"/>
        <w:rPr>
          <w:rFonts w:ascii="宋体" w:hAnsi="宋体" w:cs="宋体"/>
          <w:color w:val="auto"/>
          <w:sz w:val="24"/>
        </w:rPr>
      </w:pPr>
      <w:r>
        <w:rPr>
          <w:rFonts w:hint="eastAsia" w:ascii="宋体" w:hAnsi="宋体" w:cs="宋体"/>
          <w:color w:val="auto"/>
          <w:sz w:val="24"/>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115E85AF">
      <w:pPr>
        <w:spacing w:line="520" w:lineRule="exact"/>
        <w:ind w:firstLine="480" w:firstLineChars="200"/>
        <w:rPr>
          <w:rFonts w:ascii="宋体" w:hAnsi="宋体" w:cs="宋体"/>
          <w:color w:val="auto"/>
          <w:sz w:val="24"/>
        </w:rPr>
      </w:pPr>
      <w:r>
        <w:rPr>
          <w:rFonts w:hint="eastAsia" w:ascii="宋体" w:hAnsi="宋体" w:cs="宋体"/>
          <w:color w:val="auto"/>
          <w:sz w:val="24"/>
        </w:rPr>
        <w:t>7.在投标（响应）截止日期前未被列入失信被执行人名单、重大税收违法案件当事人名单、政府采购严重违法失信行为记录名单。</w:t>
      </w:r>
    </w:p>
    <w:p w14:paraId="26D86B19">
      <w:pPr>
        <w:spacing w:line="520" w:lineRule="exact"/>
        <w:ind w:firstLine="480" w:firstLineChars="200"/>
        <w:rPr>
          <w:rFonts w:ascii="宋体" w:hAnsi="宋体" w:cs="宋体"/>
          <w:color w:val="auto"/>
          <w:sz w:val="24"/>
        </w:rPr>
      </w:pPr>
      <w:r>
        <w:rPr>
          <w:rFonts w:hint="eastAsia" w:ascii="宋体" w:hAnsi="宋体" w:cs="宋体"/>
          <w:color w:val="auto"/>
          <w:sz w:val="24"/>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338DD33E">
      <w:pPr>
        <w:spacing w:line="520" w:lineRule="exact"/>
        <w:ind w:firstLine="480" w:firstLineChars="200"/>
        <w:rPr>
          <w:rFonts w:ascii="宋体" w:hAnsi="宋体" w:cs="宋体"/>
          <w:color w:val="auto"/>
          <w:sz w:val="24"/>
        </w:rPr>
      </w:pPr>
      <w:r>
        <w:rPr>
          <w:rFonts w:hint="eastAsia" w:ascii="宋体" w:hAnsi="宋体" w:cs="宋体"/>
          <w:color w:val="auto"/>
          <w:sz w:val="24"/>
        </w:rPr>
        <w:t xml:space="preserve">特此承诺。    </w:t>
      </w:r>
    </w:p>
    <w:p w14:paraId="7092F99A">
      <w:pPr>
        <w:spacing w:line="520" w:lineRule="exact"/>
        <w:rPr>
          <w:rFonts w:ascii="宋体" w:hAnsi="宋体" w:cs="宋体"/>
          <w:color w:val="auto"/>
          <w:sz w:val="24"/>
        </w:rPr>
      </w:pPr>
    </w:p>
    <w:p w14:paraId="2B4CC42B">
      <w:pPr>
        <w:spacing w:line="520" w:lineRule="exact"/>
        <w:ind w:firstLine="361"/>
        <w:rPr>
          <w:rFonts w:ascii="宋体" w:hAnsi="宋体" w:cs="宋体"/>
          <w:color w:val="auto"/>
          <w:sz w:val="24"/>
          <w:u w:val="single"/>
        </w:rPr>
      </w:pPr>
      <w:r>
        <w:rPr>
          <w:rFonts w:hint="eastAsia" w:ascii="宋体" w:hAnsi="宋体" w:cs="宋体"/>
          <w:color w:val="auto"/>
          <w:sz w:val="24"/>
        </w:rPr>
        <w:t xml:space="preserve">供应商名称（加盖电子公章）： </w:t>
      </w:r>
      <w:r>
        <w:rPr>
          <w:rFonts w:hint="eastAsia" w:ascii="宋体" w:hAnsi="宋体" w:cs="宋体"/>
          <w:color w:val="auto"/>
          <w:sz w:val="24"/>
          <w:u w:val="single"/>
        </w:rPr>
        <w:t xml:space="preserve">            </w:t>
      </w:r>
    </w:p>
    <w:p w14:paraId="2B3F2671">
      <w:pPr>
        <w:spacing w:line="500" w:lineRule="exact"/>
        <w:ind w:left="899" w:leftChars="228" w:hanging="420" w:hangingChars="200"/>
        <w:jc w:val="center"/>
        <w:rPr>
          <w:rFonts w:hint="eastAsia" w:ascii="宋体" w:hAnsi="宋体"/>
          <w:b/>
          <w:color w:val="auto"/>
          <w:sz w:val="30"/>
          <w:szCs w:val="30"/>
          <w:lang w:val="en-US" w:eastAsia="zh-CN"/>
        </w:rPr>
      </w:pP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日</w:t>
      </w:r>
    </w:p>
    <w:p w14:paraId="76E0C6CD">
      <w:pPr>
        <w:spacing w:line="500" w:lineRule="exact"/>
        <w:ind w:left="1081" w:leftChars="228" w:hanging="602" w:hangingChars="200"/>
        <w:jc w:val="center"/>
        <w:rPr>
          <w:rFonts w:hint="eastAsia" w:ascii="宋体" w:hAnsi="宋体"/>
          <w:b/>
          <w:color w:val="auto"/>
          <w:sz w:val="30"/>
          <w:szCs w:val="30"/>
          <w:lang w:val="en-US" w:eastAsia="zh-CN"/>
        </w:rPr>
      </w:pPr>
    </w:p>
    <w:p w14:paraId="0E34A09E">
      <w:pPr>
        <w:spacing w:line="500" w:lineRule="exact"/>
        <w:ind w:left="1081" w:leftChars="228" w:hanging="602" w:hangingChars="200"/>
        <w:jc w:val="center"/>
        <w:rPr>
          <w:rFonts w:hint="eastAsia" w:ascii="宋体" w:hAnsi="宋体"/>
          <w:b/>
          <w:color w:val="auto"/>
          <w:sz w:val="30"/>
          <w:szCs w:val="30"/>
          <w:lang w:val="en-US" w:eastAsia="zh-CN"/>
        </w:rPr>
      </w:pPr>
    </w:p>
    <w:p w14:paraId="71166471">
      <w:pPr>
        <w:spacing w:line="500" w:lineRule="exact"/>
        <w:ind w:left="1081" w:leftChars="228" w:hanging="602" w:hangingChars="200"/>
        <w:jc w:val="center"/>
        <w:rPr>
          <w:rFonts w:hint="eastAsia" w:ascii="宋体" w:hAnsi="宋体"/>
          <w:b/>
          <w:color w:val="auto"/>
          <w:sz w:val="30"/>
          <w:szCs w:val="30"/>
          <w:lang w:val="en-US" w:eastAsia="zh-CN"/>
        </w:rPr>
      </w:pPr>
    </w:p>
    <w:p w14:paraId="146FA3C5">
      <w:pPr>
        <w:spacing w:line="500" w:lineRule="exact"/>
        <w:ind w:left="1081" w:leftChars="228" w:hanging="602" w:hangingChars="200"/>
        <w:jc w:val="center"/>
        <w:rPr>
          <w:rFonts w:hint="eastAsia" w:ascii="宋体" w:hAnsi="宋体"/>
          <w:b/>
          <w:color w:val="auto"/>
          <w:sz w:val="30"/>
          <w:szCs w:val="30"/>
          <w:lang w:val="en-US" w:eastAsia="zh-CN"/>
        </w:rPr>
      </w:pPr>
    </w:p>
    <w:p w14:paraId="09174B85">
      <w:pPr>
        <w:spacing w:line="500" w:lineRule="exact"/>
        <w:ind w:left="1081" w:leftChars="228" w:hanging="602" w:hangingChars="200"/>
        <w:jc w:val="center"/>
        <w:rPr>
          <w:rFonts w:hint="eastAsia" w:ascii="宋体" w:hAnsi="宋体"/>
          <w:b/>
          <w:color w:val="auto"/>
          <w:sz w:val="30"/>
          <w:szCs w:val="30"/>
        </w:rPr>
      </w:pPr>
      <w:r>
        <w:rPr>
          <w:rFonts w:hint="eastAsia" w:ascii="宋体" w:hAnsi="宋体"/>
          <w:b/>
          <w:color w:val="auto"/>
          <w:sz w:val="30"/>
          <w:szCs w:val="30"/>
          <w:lang w:val="en-US" w:eastAsia="zh-CN"/>
        </w:rPr>
        <w:t>3</w:t>
      </w:r>
      <w:r>
        <w:rPr>
          <w:rFonts w:hint="eastAsia" w:ascii="宋体" w:hAnsi="宋体"/>
          <w:b/>
          <w:color w:val="auto"/>
          <w:sz w:val="30"/>
          <w:szCs w:val="30"/>
        </w:rPr>
        <w:t>.法定代表人身份证明书</w:t>
      </w:r>
    </w:p>
    <w:p w14:paraId="79BB0EFB">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投标供应商名称：</w:t>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p>
    <w:p w14:paraId="38ECE86B">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单位性质：</w:t>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hint="eastAsia" w:ascii="宋体" w:hAnsi="宋体" w:cs="宋体"/>
          <w:color w:val="auto"/>
          <w:kern w:val="0"/>
          <w:sz w:val="24"/>
          <w:u w:val="single"/>
        </w:rPr>
        <w:t xml:space="preserve"> </w:t>
      </w:r>
    </w:p>
    <w:p w14:paraId="5FFF62A0">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成立时间：</w:t>
      </w:r>
      <w:r>
        <w:rPr>
          <w:rFonts w:hint="eastAsia" w:ascii="宋体" w:hAnsi="宋体" w:cs="宋体"/>
          <w:color w:val="auto"/>
          <w:kern w:val="0"/>
          <w:sz w:val="24"/>
          <w:u w:val="single"/>
        </w:rPr>
        <w:t xml:space="preserve">        </w:t>
      </w:r>
      <w:r>
        <w:rPr>
          <w:rFonts w:hint="eastAsia" w:ascii="宋体" w:hAnsi="宋体" w:cs="宋体"/>
          <w:color w:val="auto"/>
          <w:kern w:val="0"/>
          <w:sz w:val="24"/>
        </w:rPr>
        <w:t>年</w:t>
      </w:r>
      <w:r>
        <w:rPr>
          <w:rFonts w:hint="eastAsia" w:ascii="宋体" w:hAnsi="宋体" w:cs="宋体"/>
          <w:color w:val="auto"/>
          <w:kern w:val="0"/>
          <w:sz w:val="24"/>
          <w:u w:val="single"/>
        </w:rPr>
        <w:t xml:space="preserve">       </w:t>
      </w:r>
      <w:r>
        <w:rPr>
          <w:rFonts w:hint="eastAsia" w:ascii="宋体" w:hAnsi="宋体" w:cs="宋体"/>
          <w:color w:val="auto"/>
          <w:kern w:val="0"/>
          <w:sz w:val="24"/>
        </w:rPr>
        <w:t>月</w:t>
      </w:r>
      <w:r>
        <w:rPr>
          <w:rFonts w:hint="eastAsia" w:ascii="宋体" w:hAnsi="宋体" w:cs="宋体"/>
          <w:color w:val="auto"/>
          <w:kern w:val="0"/>
          <w:sz w:val="24"/>
          <w:u w:val="single"/>
        </w:rPr>
        <w:t xml:space="preserve">       </w:t>
      </w:r>
      <w:r>
        <w:rPr>
          <w:rFonts w:hint="eastAsia" w:ascii="宋体" w:hAnsi="宋体" w:cs="宋体"/>
          <w:color w:val="auto"/>
          <w:kern w:val="0"/>
          <w:sz w:val="24"/>
        </w:rPr>
        <w:t>日</w:t>
      </w:r>
    </w:p>
    <w:p w14:paraId="0430D22A">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经营期限：</w:t>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p>
    <w:p w14:paraId="0348256A">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姓名：</w:t>
      </w:r>
      <w:r>
        <w:rPr>
          <w:rFonts w:hint="eastAsia" w:ascii="宋体" w:hAnsi="宋体" w:cs="宋体"/>
          <w:color w:val="auto"/>
          <w:kern w:val="0"/>
          <w:sz w:val="24"/>
          <w:u w:val="single"/>
        </w:rPr>
        <w:t xml:space="preserve">           </w:t>
      </w:r>
      <w:r>
        <w:rPr>
          <w:rFonts w:hint="eastAsia" w:ascii="宋体" w:hAnsi="宋体" w:cs="宋体"/>
          <w:color w:val="auto"/>
          <w:kern w:val="0"/>
          <w:sz w:val="24"/>
        </w:rPr>
        <w:t>性别：</w:t>
      </w:r>
      <w:r>
        <w:rPr>
          <w:rFonts w:hint="eastAsia" w:ascii="宋体" w:hAnsi="宋体" w:cs="宋体"/>
          <w:color w:val="auto"/>
          <w:kern w:val="0"/>
          <w:sz w:val="24"/>
          <w:u w:val="single"/>
        </w:rPr>
        <w:t xml:space="preserve">          </w:t>
      </w:r>
      <w:r>
        <w:rPr>
          <w:rFonts w:hint="eastAsia" w:ascii="宋体" w:hAnsi="宋体" w:cs="宋体"/>
          <w:color w:val="auto"/>
          <w:kern w:val="0"/>
          <w:sz w:val="24"/>
        </w:rPr>
        <w:t>年龄：</w:t>
      </w:r>
      <w:r>
        <w:rPr>
          <w:rFonts w:hint="eastAsia" w:ascii="宋体" w:hAnsi="宋体" w:cs="宋体"/>
          <w:color w:val="auto"/>
          <w:kern w:val="0"/>
          <w:sz w:val="24"/>
          <w:u w:val="single"/>
        </w:rPr>
        <w:t xml:space="preserve">           </w:t>
      </w:r>
      <w:r>
        <w:rPr>
          <w:rFonts w:hint="eastAsia" w:ascii="宋体" w:hAnsi="宋体" w:cs="宋体"/>
          <w:color w:val="auto"/>
          <w:kern w:val="0"/>
          <w:sz w:val="24"/>
        </w:rPr>
        <w:t>职务：</w:t>
      </w:r>
      <w:r>
        <w:rPr>
          <w:rFonts w:ascii="宋体" w:hAnsi="宋体" w:cs="宋体"/>
          <w:color w:val="auto"/>
          <w:kern w:val="0"/>
          <w:sz w:val="24"/>
          <w:u w:val="single"/>
        </w:rPr>
        <w:tab/>
      </w:r>
      <w:r>
        <w:rPr>
          <w:rFonts w:ascii="宋体" w:hAnsi="宋体" w:cs="宋体"/>
          <w:color w:val="auto"/>
          <w:kern w:val="0"/>
          <w:sz w:val="24"/>
          <w:u w:val="single"/>
        </w:rPr>
        <w:tab/>
      </w:r>
    </w:p>
    <w:p w14:paraId="53978235">
      <w:pPr>
        <w:spacing w:before="156" w:beforeLines="50" w:after="156" w:afterLines="50" w:line="560" w:lineRule="exact"/>
        <w:ind w:firstLine="480" w:firstLineChars="200"/>
        <w:rPr>
          <w:rFonts w:ascii="宋体" w:hAnsi="宋体" w:cs="宋体"/>
          <w:color w:val="auto"/>
          <w:kern w:val="0"/>
          <w:sz w:val="24"/>
        </w:rPr>
      </w:pP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kern w:val="0"/>
          <w:sz w:val="24"/>
        </w:rPr>
        <w:t>（投标供应商名称）的法定代表人。</w:t>
      </w:r>
    </w:p>
    <w:p w14:paraId="02ECD20E">
      <w:pPr>
        <w:spacing w:line="560" w:lineRule="exact"/>
        <w:ind w:firstLine="480" w:firstLineChars="200"/>
        <w:rPr>
          <w:rFonts w:ascii="宋体" w:hAnsi="宋体" w:cs="宋体"/>
          <w:color w:val="auto"/>
          <w:kern w:val="0"/>
          <w:sz w:val="24"/>
        </w:rPr>
      </w:pPr>
      <w:r>
        <w:rPr>
          <w:rFonts w:hint="eastAsia" w:ascii="宋体" w:hAnsi="宋体" w:cs="宋体"/>
          <w:color w:val="auto"/>
          <w:kern w:val="0"/>
          <w:sz w:val="24"/>
        </w:rPr>
        <w:t>后附法定代表人身份证复印件，并加盖投标供应商公章。</w:t>
      </w:r>
    </w:p>
    <w:p w14:paraId="0DDA424C">
      <w:pPr>
        <w:spacing w:line="360" w:lineRule="auto"/>
        <w:rPr>
          <w:rFonts w:ascii="宋体" w:hAnsi="宋体" w:cs="宋体"/>
          <w:color w:val="auto"/>
          <w:kern w:val="0"/>
          <w:sz w:val="24"/>
        </w:rPr>
      </w:pPr>
    </w:p>
    <w:p w14:paraId="4325CCED">
      <w:pPr>
        <w:spacing w:line="360" w:lineRule="auto"/>
        <w:jc w:val="left"/>
        <w:rPr>
          <w:rFonts w:ascii="宋体" w:hAnsi="宋体" w:cs="宋体"/>
          <w:color w:val="auto"/>
          <w:kern w:val="0"/>
          <w:sz w:val="24"/>
        </w:rPr>
      </w:pPr>
      <w:r>
        <w:rPr>
          <w:rFonts w:hint="eastAsia" w:ascii="宋体" w:hAnsi="宋体" w:cs="宋体"/>
          <w:color w:val="auto"/>
          <w:kern w:val="0"/>
          <w:sz w:val="24"/>
        </w:rPr>
        <w:t xml:space="preserve">    特此证明。</w:t>
      </w:r>
    </w:p>
    <w:p w14:paraId="0BAE352E">
      <w:pPr>
        <w:spacing w:line="360" w:lineRule="auto"/>
        <w:ind w:firstLine="480" w:firstLineChars="200"/>
        <w:jc w:val="center"/>
        <w:rPr>
          <w:rFonts w:ascii="宋体" w:hAnsi="宋体" w:cs="宋体"/>
          <w:color w:val="auto"/>
          <w:kern w:val="0"/>
          <w:sz w:val="24"/>
        </w:rPr>
      </w:pPr>
      <w:r>
        <w:rPr>
          <w:rFonts w:hint="eastAsia" w:ascii="宋体" w:hAnsi="宋体" w:cs="宋体"/>
          <w:color w:val="auto"/>
          <w:kern w:val="0"/>
          <w:sz w:val="24"/>
        </w:rPr>
        <w:t xml:space="preserve">            </w:t>
      </w:r>
    </w:p>
    <w:p w14:paraId="11236E27">
      <w:pPr>
        <w:spacing w:line="360" w:lineRule="auto"/>
        <w:ind w:firstLine="480" w:firstLineChars="200"/>
        <w:jc w:val="center"/>
        <w:rPr>
          <w:rFonts w:ascii="宋体" w:hAnsi="宋体" w:cs="宋体"/>
          <w:color w:val="auto"/>
          <w:kern w:val="0"/>
          <w:sz w:val="24"/>
        </w:rPr>
      </w:pPr>
    </w:p>
    <w:p w14:paraId="629BBB38">
      <w:pPr>
        <w:spacing w:line="360" w:lineRule="auto"/>
        <w:ind w:firstLine="480" w:firstLineChars="200"/>
        <w:jc w:val="center"/>
        <w:rPr>
          <w:rFonts w:ascii="宋体" w:hAnsi="宋体" w:cs="宋体"/>
          <w:color w:val="auto"/>
          <w:kern w:val="0"/>
          <w:sz w:val="24"/>
        </w:rPr>
      </w:pPr>
    </w:p>
    <w:p w14:paraId="044F78DD">
      <w:pPr>
        <w:spacing w:line="360" w:lineRule="auto"/>
        <w:ind w:firstLine="480" w:firstLineChars="200"/>
        <w:jc w:val="center"/>
        <w:rPr>
          <w:rFonts w:ascii="宋体" w:hAnsi="宋体" w:cs="宋体"/>
          <w:color w:val="auto"/>
          <w:kern w:val="0"/>
          <w:sz w:val="24"/>
        </w:rPr>
      </w:pPr>
    </w:p>
    <w:p w14:paraId="6B817468">
      <w:pPr>
        <w:spacing w:line="360" w:lineRule="auto"/>
        <w:ind w:firstLine="480" w:firstLineChars="200"/>
        <w:jc w:val="center"/>
        <w:rPr>
          <w:rFonts w:ascii="宋体" w:hAnsi="宋体" w:cs="宋体"/>
          <w:color w:val="auto"/>
          <w:kern w:val="0"/>
          <w:sz w:val="24"/>
        </w:rPr>
      </w:pPr>
    </w:p>
    <w:p w14:paraId="56113B2E">
      <w:pPr>
        <w:spacing w:line="360" w:lineRule="auto"/>
        <w:ind w:firstLine="480" w:firstLineChars="200"/>
        <w:jc w:val="center"/>
        <w:rPr>
          <w:rFonts w:ascii="宋体" w:hAnsi="宋体" w:cs="宋体"/>
          <w:color w:val="auto"/>
          <w:kern w:val="0"/>
          <w:sz w:val="24"/>
        </w:rPr>
      </w:pPr>
    </w:p>
    <w:p w14:paraId="27A29E1A">
      <w:pPr>
        <w:spacing w:line="360" w:lineRule="auto"/>
        <w:ind w:firstLine="480" w:firstLineChars="200"/>
        <w:jc w:val="center"/>
        <w:rPr>
          <w:rFonts w:ascii="宋体" w:hAnsi="宋体" w:cs="宋体"/>
          <w:color w:val="auto"/>
          <w:kern w:val="0"/>
          <w:sz w:val="24"/>
        </w:rPr>
      </w:pPr>
      <w:r>
        <w:rPr>
          <w:rFonts w:hint="eastAsia" w:ascii="宋体" w:hAnsi="宋体" w:cs="宋体"/>
          <w:color w:val="auto"/>
          <w:kern w:val="0"/>
          <w:sz w:val="24"/>
        </w:rPr>
        <w:t xml:space="preserve"> </w:t>
      </w:r>
      <w:r>
        <w:rPr>
          <w:rFonts w:ascii="宋体" w:hAnsi="宋体" w:cs="宋体"/>
          <w:color w:val="auto"/>
          <w:kern w:val="0"/>
          <w:sz w:val="24"/>
        </w:rPr>
        <w:t xml:space="preserve">       </w:t>
      </w:r>
      <w:r>
        <w:rPr>
          <w:rFonts w:hint="eastAsia" w:ascii="宋体" w:hAnsi="宋体" w:cs="宋体"/>
          <w:color w:val="auto"/>
          <w:kern w:val="0"/>
          <w:sz w:val="24"/>
        </w:rPr>
        <w:t>投标供应商</w:t>
      </w:r>
      <w:r>
        <w:rPr>
          <w:rFonts w:hint="eastAsia" w:ascii="宋体" w:hAnsi="宋体" w:cs="宋体"/>
          <w:color w:val="auto"/>
          <w:sz w:val="24"/>
        </w:rPr>
        <w:t>（</w:t>
      </w:r>
      <w:r>
        <w:rPr>
          <w:rFonts w:hint="eastAsia" w:ascii="宋体" w:hAnsi="宋体" w:cs="宋体"/>
          <w:bCs/>
          <w:color w:val="auto"/>
          <w:kern w:val="0"/>
          <w:sz w:val="24"/>
        </w:rPr>
        <w:t>电子签章</w:t>
      </w:r>
      <w:r>
        <w:rPr>
          <w:rFonts w:hint="eastAsia" w:ascii="宋体" w:hAnsi="宋体" w:cs="宋体"/>
          <w:color w:val="auto"/>
          <w:sz w:val="24"/>
        </w:rPr>
        <w:t>）</w:t>
      </w:r>
      <w:r>
        <w:rPr>
          <w:rFonts w:hint="eastAsia" w:ascii="宋体" w:hAnsi="宋体" w:cs="宋体"/>
          <w:color w:val="auto"/>
          <w:kern w:val="0"/>
          <w:sz w:val="24"/>
        </w:rPr>
        <w:t>：</w:t>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r>
        <w:rPr>
          <w:rFonts w:ascii="宋体" w:hAnsi="宋体" w:cs="宋体"/>
          <w:color w:val="auto"/>
          <w:kern w:val="0"/>
          <w:sz w:val="24"/>
          <w:u w:val="single"/>
        </w:rPr>
        <w:tab/>
      </w:r>
    </w:p>
    <w:p w14:paraId="655C44DA">
      <w:pPr>
        <w:spacing w:line="360" w:lineRule="auto"/>
        <w:ind w:firstLine="480" w:firstLineChars="200"/>
        <w:jc w:val="center"/>
        <w:rPr>
          <w:rFonts w:ascii="宋体" w:hAnsi="宋体" w:cs="宋体"/>
          <w:color w:val="auto"/>
          <w:kern w:val="0"/>
          <w:sz w:val="24"/>
        </w:rPr>
      </w:pPr>
    </w:p>
    <w:p w14:paraId="47BBCB21">
      <w:pPr>
        <w:widowControl/>
        <w:spacing w:before="260" w:after="260" w:line="400" w:lineRule="exact"/>
        <w:jc w:val="center"/>
        <w:rPr>
          <w:rFonts w:ascii="宋体" w:hAnsi="宋体" w:cs="宋体"/>
          <w:b/>
          <w:bCs/>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年</w:t>
      </w:r>
      <w:r>
        <w:rPr>
          <w:rFonts w:hint="eastAsia" w:ascii="宋体" w:hAnsi="宋体" w:cs="宋体"/>
          <w:color w:val="auto"/>
          <w:kern w:val="0"/>
          <w:sz w:val="24"/>
          <w:u w:val="single"/>
        </w:rPr>
        <w:t xml:space="preserve">       </w:t>
      </w:r>
      <w:r>
        <w:rPr>
          <w:rFonts w:hint="eastAsia" w:ascii="宋体" w:hAnsi="宋体" w:cs="宋体"/>
          <w:color w:val="auto"/>
          <w:kern w:val="0"/>
          <w:sz w:val="24"/>
        </w:rPr>
        <w:t>月</w:t>
      </w:r>
      <w:r>
        <w:rPr>
          <w:rFonts w:hint="eastAsia" w:ascii="宋体" w:hAnsi="宋体" w:cs="宋体"/>
          <w:color w:val="auto"/>
          <w:kern w:val="0"/>
          <w:sz w:val="24"/>
          <w:u w:val="single"/>
        </w:rPr>
        <w:t xml:space="preserve">        </w:t>
      </w:r>
      <w:r>
        <w:rPr>
          <w:rFonts w:hint="eastAsia" w:ascii="宋体" w:hAnsi="宋体" w:cs="宋体"/>
          <w:color w:val="auto"/>
          <w:kern w:val="0"/>
          <w:sz w:val="24"/>
        </w:rPr>
        <w:t>日</w:t>
      </w:r>
    </w:p>
    <w:p w14:paraId="3AEB9793">
      <w:pPr>
        <w:widowControl/>
        <w:spacing w:before="260" w:after="260" w:line="400" w:lineRule="exact"/>
        <w:jc w:val="center"/>
        <w:rPr>
          <w:rFonts w:ascii="宋体" w:hAnsi="宋体" w:cs="宋体"/>
          <w:b/>
          <w:bCs/>
          <w:color w:val="auto"/>
          <w:kern w:val="0"/>
          <w:sz w:val="36"/>
          <w:szCs w:val="28"/>
        </w:rPr>
      </w:pPr>
      <w:r>
        <w:rPr>
          <w:rFonts w:hint="eastAsia" w:ascii="宋体" w:hAnsi="宋体" w:cs="宋体"/>
          <w:b/>
          <w:bCs/>
          <w:color w:val="auto"/>
          <w:kern w:val="0"/>
          <w:sz w:val="36"/>
          <w:szCs w:val="28"/>
        </w:rPr>
        <w:t xml:space="preserve"> </w:t>
      </w:r>
    </w:p>
    <w:p w14:paraId="0C76B89F">
      <w:pPr>
        <w:widowControl/>
        <w:spacing w:before="260" w:after="260" w:line="400" w:lineRule="exact"/>
        <w:jc w:val="center"/>
        <w:rPr>
          <w:rFonts w:ascii="宋体" w:hAnsi="宋体" w:cs="宋体"/>
          <w:b/>
          <w:bCs/>
          <w:color w:val="auto"/>
          <w:kern w:val="0"/>
          <w:sz w:val="36"/>
          <w:szCs w:val="28"/>
        </w:rPr>
      </w:pPr>
    </w:p>
    <w:p w14:paraId="135F56AF">
      <w:pPr>
        <w:widowControl/>
        <w:spacing w:before="260" w:after="260" w:line="400" w:lineRule="exact"/>
        <w:jc w:val="center"/>
        <w:rPr>
          <w:rFonts w:ascii="宋体" w:hAnsi="宋体" w:cs="宋体"/>
          <w:b/>
          <w:bCs/>
          <w:color w:val="auto"/>
          <w:kern w:val="0"/>
          <w:sz w:val="36"/>
          <w:szCs w:val="28"/>
        </w:rPr>
      </w:pPr>
    </w:p>
    <w:p w14:paraId="469CEA9D">
      <w:pPr>
        <w:pStyle w:val="8"/>
        <w:rPr>
          <w:color w:val="auto"/>
        </w:rPr>
      </w:pPr>
    </w:p>
    <w:p w14:paraId="5EB0119B">
      <w:pPr>
        <w:pStyle w:val="4"/>
        <w:rPr>
          <w:color w:val="auto"/>
        </w:rPr>
      </w:pPr>
    </w:p>
    <w:p w14:paraId="4C2A9244">
      <w:pPr>
        <w:spacing w:line="500" w:lineRule="exact"/>
        <w:ind w:left="1081" w:leftChars="228" w:hanging="602" w:hangingChars="200"/>
        <w:jc w:val="center"/>
        <w:rPr>
          <w:rFonts w:hint="eastAsia" w:ascii="宋体" w:hAnsi="宋体"/>
          <w:b/>
          <w:color w:val="auto"/>
          <w:sz w:val="30"/>
          <w:szCs w:val="30"/>
        </w:rPr>
      </w:pPr>
      <w:r>
        <w:rPr>
          <w:rFonts w:hint="eastAsia" w:ascii="宋体" w:hAnsi="宋体"/>
          <w:b/>
          <w:color w:val="auto"/>
          <w:sz w:val="30"/>
          <w:szCs w:val="30"/>
        </w:rPr>
        <w:t>4.法定代表人授权书</w:t>
      </w:r>
      <w:bookmarkEnd w:id="106"/>
      <w:bookmarkEnd w:id="107"/>
    </w:p>
    <w:p w14:paraId="5CFA4F8E">
      <w:pPr>
        <w:widowControl/>
        <w:spacing w:line="360" w:lineRule="auto"/>
        <w:jc w:val="left"/>
        <w:rPr>
          <w:rFonts w:ascii="宋体" w:hAnsi="宋体" w:cs="宋体"/>
          <w:b/>
          <w:color w:val="auto"/>
          <w:kern w:val="0"/>
          <w:sz w:val="44"/>
        </w:rPr>
      </w:pPr>
    </w:p>
    <w:p w14:paraId="6983DEB0">
      <w:pPr>
        <w:widowControl/>
        <w:spacing w:line="360" w:lineRule="auto"/>
        <w:jc w:val="left"/>
        <w:rPr>
          <w:rFonts w:ascii="宋体" w:hAnsi="宋体" w:cs="宋体"/>
          <w:color w:val="auto"/>
          <w:kern w:val="0"/>
          <w:sz w:val="24"/>
        </w:rPr>
      </w:pPr>
      <w:r>
        <w:rPr>
          <w:rFonts w:hint="eastAsia" w:ascii="宋体" w:hAnsi="宋体" w:cs="宋体"/>
          <w:color w:val="auto"/>
          <w:kern w:val="0"/>
          <w:sz w:val="24"/>
        </w:rPr>
        <w:t>__________________（采购单位名称）：</w:t>
      </w:r>
    </w:p>
    <w:p w14:paraId="4FDA15C9">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本授权声明：</w:t>
      </w:r>
      <w:r>
        <w:rPr>
          <w:rFonts w:hint="eastAsia" w:ascii="宋体" w:hAnsi="宋体" w:cs="宋体"/>
          <w:color w:val="auto"/>
          <w:kern w:val="0"/>
          <w:sz w:val="24"/>
          <w:u w:val="single"/>
        </w:rPr>
        <w:t xml:space="preserve">                     </w:t>
      </w:r>
      <w:r>
        <w:rPr>
          <w:rFonts w:hint="eastAsia" w:ascii="宋体" w:hAnsi="宋体" w:cs="宋体"/>
          <w:color w:val="auto"/>
          <w:kern w:val="0"/>
          <w:sz w:val="24"/>
        </w:rPr>
        <w:t>（投标供应商名称）</w:t>
      </w:r>
      <w:r>
        <w:rPr>
          <w:rFonts w:hint="eastAsia" w:ascii="宋体" w:hAnsi="宋体" w:cs="宋体"/>
          <w:color w:val="auto"/>
          <w:kern w:val="0"/>
          <w:sz w:val="24"/>
          <w:u w:val="single"/>
        </w:rPr>
        <w:t xml:space="preserve">          </w:t>
      </w:r>
      <w:r>
        <w:rPr>
          <w:rFonts w:hint="eastAsia" w:ascii="宋体" w:hAnsi="宋体" w:cs="宋体"/>
          <w:color w:val="auto"/>
          <w:kern w:val="0"/>
          <w:sz w:val="24"/>
        </w:rPr>
        <w:t>（法定代表人姓名、职务）授权</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（被授权人姓名、职务）为我方 “ </w:t>
      </w:r>
      <w:r>
        <w:rPr>
          <w:rFonts w:hint="eastAsia" w:ascii="宋体" w:hAnsi="宋体" w:cs="宋体"/>
          <w:color w:val="auto"/>
          <w:kern w:val="0"/>
          <w:sz w:val="24"/>
          <w:u w:val="single"/>
        </w:rPr>
        <w:t xml:space="preserve">             </w:t>
      </w:r>
      <w:r>
        <w:rPr>
          <w:rFonts w:hint="eastAsia" w:ascii="宋体" w:hAnsi="宋体" w:cs="宋体"/>
          <w:color w:val="auto"/>
          <w:kern w:val="0"/>
          <w:sz w:val="24"/>
        </w:rPr>
        <w:t>” 项目（招标编号）投标活动的合法代表，以我方名义全权处理该项目有关投标、签订合同以及执行合同等一切事宜。</w:t>
      </w:r>
    </w:p>
    <w:p w14:paraId="07A3782A">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特此声明。</w:t>
      </w:r>
    </w:p>
    <w:p w14:paraId="5F6D428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22FD22D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600CC051">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法定代表人签字：</w:t>
      </w:r>
      <w:r>
        <w:rPr>
          <w:rFonts w:hint="eastAsia" w:ascii="宋体" w:hAnsi="宋体" w:cs="宋体"/>
          <w:color w:val="auto"/>
          <w:kern w:val="0"/>
          <w:sz w:val="24"/>
          <w:u w:val="single"/>
        </w:rPr>
        <w:t>　　　　　　　　　　　　　　　　　　　　　　</w:t>
      </w:r>
    </w:p>
    <w:p w14:paraId="516438EF">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法定代表人身份证号码</w:t>
      </w:r>
      <w:r>
        <w:rPr>
          <w:rFonts w:hint="eastAsia" w:ascii="宋体" w:hAnsi="宋体" w:cs="宋体"/>
          <w:color w:val="auto"/>
          <w:spacing w:val="30"/>
          <w:kern w:val="0"/>
          <w:sz w:val="24"/>
        </w:rPr>
        <w:t>：</w:t>
      </w:r>
      <w:r>
        <w:rPr>
          <w:rFonts w:hint="eastAsia" w:ascii="宋体" w:hAnsi="宋体" w:cs="宋体"/>
          <w:color w:val="auto"/>
          <w:spacing w:val="30"/>
          <w:kern w:val="0"/>
          <w:sz w:val="24"/>
          <w:u w:val="single"/>
        </w:rPr>
        <w:t xml:space="preserve">                    　　   </w:t>
      </w:r>
    </w:p>
    <w:p w14:paraId="0A8C5B71">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授权代表人签字：</w:t>
      </w:r>
      <w:r>
        <w:rPr>
          <w:rFonts w:hint="eastAsia" w:ascii="宋体" w:hAnsi="宋体" w:cs="宋体"/>
          <w:color w:val="auto"/>
          <w:kern w:val="0"/>
          <w:sz w:val="24"/>
          <w:u w:val="single"/>
        </w:rPr>
        <w:t>　　　　　　　　　　　　　　　　　　　　　　</w:t>
      </w:r>
    </w:p>
    <w:p w14:paraId="1C91A722">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授权代表身份证号码</w:t>
      </w:r>
      <w:r>
        <w:rPr>
          <w:rFonts w:hint="eastAsia" w:ascii="宋体" w:hAnsi="宋体" w:cs="宋体"/>
          <w:color w:val="auto"/>
          <w:kern w:val="0"/>
          <w:sz w:val="24"/>
          <w:u w:val="single"/>
        </w:rPr>
        <w:t>：　　　　　　　　　　　　　　　　　　　　</w:t>
      </w:r>
    </w:p>
    <w:p w14:paraId="41B3DFFD">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投标供应商名称（</w:t>
      </w:r>
      <w:r>
        <w:rPr>
          <w:rFonts w:hint="eastAsia" w:ascii="宋体" w:hAnsi="宋体" w:cs="宋体"/>
          <w:bCs/>
          <w:color w:val="auto"/>
          <w:kern w:val="0"/>
          <w:sz w:val="24"/>
        </w:rPr>
        <w:t>电子签章</w:t>
      </w:r>
      <w:r>
        <w:rPr>
          <w:rFonts w:hint="eastAsia" w:ascii="宋体" w:hAnsi="宋体" w:cs="宋体"/>
          <w:color w:val="auto"/>
          <w:kern w:val="0"/>
          <w:sz w:val="24"/>
        </w:rPr>
        <w:t>）</w:t>
      </w:r>
      <w:r>
        <w:rPr>
          <w:rFonts w:hint="eastAsia" w:ascii="宋体" w:hAnsi="宋体" w:cs="宋体"/>
          <w:color w:val="auto"/>
          <w:kern w:val="0"/>
          <w:sz w:val="24"/>
          <w:u w:val="single"/>
        </w:rPr>
        <w:t>：         　　　　　　　　　　　　 　</w:t>
      </w:r>
    </w:p>
    <w:p w14:paraId="75CA281B">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rPr>
        <w:t>　　　　　　　　　　　　　　　　　　　　　　　　　</w:t>
      </w:r>
    </w:p>
    <w:p w14:paraId="457B9AC6">
      <w:pPr>
        <w:widowControl/>
        <w:spacing w:line="400" w:lineRule="exact"/>
        <w:jc w:val="left"/>
        <w:rPr>
          <w:rFonts w:ascii="宋体" w:hAnsi="宋体" w:cs="宋体"/>
          <w:b/>
          <w:color w:val="auto"/>
          <w:kern w:val="0"/>
          <w:sz w:val="28"/>
          <w:szCs w:val="28"/>
        </w:rPr>
      </w:pPr>
      <w:r>
        <w:rPr>
          <w:rFonts w:hint="eastAsia" w:ascii="宋体" w:hAnsi="宋体" w:cs="宋体"/>
          <w:color w:val="auto"/>
          <w:kern w:val="0"/>
          <w:sz w:val="32"/>
        </w:rPr>
        <w:t xml:space="preserve">         </w:t>
      </w:r>
      <w:r>
        <w:rPr>
          <w:rFonts w:hint="eastAsia" w:ascii="宋体" w:hAnsi="宋体" w:cs="宋体"/>
          <w:b/>
          <w:color w:val="auto"/>
          <w:kern w:val="0"/>
          <w:sz w:val="28"/>
          <w:szCs w:val="28"/>
        </w:rPr>
        <w:t xml:space="preserve">       </w:t>
      </w:r>
    </w:p>
    <w:p w14:paraId="553F58FF">
      <w:pPr>
        <w:widowControl/>
        <w:spacing w:line="400" w:lineRule="exact"/>
        <w:jc w:val="left"/>
        <w:rPr>
          <w:rFonts w:ascii="宋体" w:hAnsi="宋体" w:cs="宋体"/>
          <w:b/>
          <w:color w:val="auto"/>
          <w:kern w:val="0"/>
          <w:sz w:val="28"/>
          <w:szCs w:val="28"/>
        </w:rPr>
      </w:pPr>
    </w:p>
    <w:p w14:paraId="60D0D64C">
      <w:pPr>
        <w:widowControl/>
        <w:spacing w:line="400" w:lineRule="exact"/>
        <w:jc w:val="left"/>
        <w:rPr>
          <w:rFonts w:ascii="宋体" w:hAnsi="宋体" w:cs="宋体"/>
          <w:b/>
          <w:color w:val="auto"/>
          <w:kern w:val="0"/>
          <w:sz w:val="28"/>
          <w:szCs w:val="28"/>
        </w:rPr>
      </w:pPr>
    </w:p>
    <w:p w14:paraId="4E0D07FA">
      <w:pPr>
        <w:widowControl/>
        <w:spacing w:before="260" w:after="260" w:line="400" w:lineRule="exact"/>
        <w:rPr>
          <w:rFonts w:ascii="宋体" w:hAnsi="宋体" w:cs="宋体"/>
          <w:b/>
          <w:color w:val="auto"/>
          <w:kern w:val="0"/>
          <w:sz w:val="36"/>
          <w:szCs w:val="28"/>
        </w:rPr>
      </w:pPr>
      <w:bookmarkStart w:id="108" w:name="_Toc259462338"/>
      <w:bookmarkStart w:id="109" w:name="_Toc217446085"/>
    </w:p>
    <w:p w14:paraId="66097E83">
      <w:pPr>
        <w:pStyle w:val="8"/>
        <w:rPr>
          <w:rFonts w:ascii="宋体" w:hAnsi="宋体" w:cs="宋体"/>
          <w:b/>
          <w:color w:val="auto"/>
          <w:kern w:val="0"/>
          <w:sz w:val="36"/>
          <w:szCs w:val="28"/>
        </w:rPr>
      </w:pPr>
    </w:p>
    <w:p w14:paraId="09D421E3">
      <w:pPr>
        <w:rPr>
          <w:rFonts w:ascii="宋体" w:hAnsi="宋体" w:cs="宋体"/>
          <w:b/>
          <w:color w:val="auto"/>
          <w:kern w:val="0"/>
          <w:sz w:val="36"/>
          <w:szCs w:val="28"/>
        </w:rPr>
      </w:pPr>
    </w:p>
    <w:p w14:paraId="0DAD0AE5">
      <w:pPr>
        <w:pStyle w:val="8"/>
        <w:rPr>
          <w:rFonts w:hint="eastAsia" w:ascii="宋体" w:hAnsi="宋体" w:cs="宋体"/>
          <w:b/>
          <w:color w:val="auto"/>
          <w:kern w:val="0"/>
          <w:sz w:val="36"/>
          <w:szCs w:val="28"/>
        </w:rPr>
      </w:pPr>
    </w:p>
    <w:p w14:paraId="341E5DC3">
      <w:pPr>
        <w:rPr>
          <w:rFonts w:hint="eastAsia" w:ascii="宋体" w:hAnsi="宋体" w:cs="宋体"/>
          <w:b/>
          <w:color w:val="auto"/>
          <w:kern w:val="0"/>
          <w:sz w:val="36"/>
          <w:szCs w:val="28"/>
        </w:rPr>
      </w:pPr>
    </w:p>
    <w:p w14:paraId="05C6C875">
      <w:pPr>
        <w:pStyle w:val="4"/>
        <w:rPr>
          <w:rFonts w:hint="eastAsia" w:ascii="宋体" w:hAnsi="宋体" w:cs="宋体"/>
          <w:b/>
          <w:color w:val="auto"/>
          <w:sz w:val="36"/>
          <w:szCs w:val="28"/>
        </w:rPr>
      </w:pPr>
    </w:p>
    <w:p w14:paraId="78D91F90">
      <w:pPr>
        <w:rPr>
          <w:rFonts w:hint="eastAsia"/>
          <w:color w:val="auto"/>
        </w:rPr>
      </w:pPr>
    </w:p>
    <w:p w14:paraId="29EBB3AE">
      <w:pPr>
        <w:rPr>
          <w:color w:val="auto"/>
        </w:rPr>
      </w:pPr>
    </w:p>
    <w:bookmarkEnd w:id="108"/>
    <w:bookmarkEnd w:id="109"/>
    <w:p w14:paraId="23114B9A">
      <w:pPr>
        <w:spacing w:line="500" w:lineRule="exact"/>
        <w:ind w:left="1081" w:leftChars="228" w:hanging="602" w:hangingChars="200"/>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lang w:val="en-US" w:eastAsia="zh-CN"/>
        </w:rPr>
        <w:t>5.</w:t>
      </w:r>
      <w:r>
        <w:rPr>
          <w:rFonts w:hint="eastAsia" w:ascii="宋体" w:hAnsi="宋体" w:eastAsia="宋体" w:cs="Times New Roman"/>
          <w:b/>
          <w:color w:val="auto"/>
          <w:sz w:val="30"/>
          <w:szCs w:val="30"/>
        </w:rPr>
        <w:t>构成投标文件的其它资料</w:t>
      </w:r>
    </w:p>
    <w:p w14:paraId="0538FBC5">
      <w:pPr>
        <w:adjustRightInd w:val="0"/>
        <w:spacing w:line="360" w:lineRule="auto"/>
        <w:ind w:firstLine="512" w:firstLineChars="200"/>
        <w:rPr>
          <w:rFonts w:ascii="宋体" w:hAnsi="宋体"/>
          <w:color w:val="auto"/>
          <w:spacing w:val="8"/>
          <w:sz w:val="24"/>
        </w:rPr>
      </w:pPr>
      <w:r>
        <w:rPr>
          <w:rFonts w:hint="eastAsia" w:ascii="宋体" w:hAnsi="宋体"/>
          <w:color w:val="auto"/>
          <w:spacing w:val="8"/>
          <w:sz w:val="24"/>
        </w:rPr>
        <w:t>附件1：</w:t>
      </w:r>
    </w:p>
    <w:p w14:paraId="3D6158EE">
      <w:pPr>
        <w:spacing w:line="588" w:lineRule="exact"/>
        <w:jc w:val="center"/>
        <w:rPr>
          <w:rFonts w:ascii="宋体" w:hAnsi="宋体"/>
          <w:b/>
          <w:color w:val="auto"/>
          <w:spacing w:val="6"/>
          <w:sz w:val="32"/>
          <w:szCs w:val="32"/>
        </w:rPr>
      </w:pPr>
      <w:r>
        <w:rPr>
          <w:rFonts w:hint="eastAsia" w:ascii="宋体" w:hAnsi="宋体"/>
          <w:b/>
          <w:color w:val="auto"/>
          <w:spacing w:val="6"/>
          <w:sz w:val="32"/>
          <w:szCs w:val="32"/>
        </w:rPr>
        <w:t>中小企业声明函</w:t>
      </w:r>
    </w:p>
    <w:p w14:paraId="71BABBD9">
      <w:pPr>
        <w:spacing w:line="588" w:lineRule="exact"/>
        <w:rPr>
          <w:rFonts w:ascii="宋体" w:hAnsi="宋体"/>
          <w:b/>
          <w:color w:val="auto"/>
          <w:spacing w:val="6"/>
          <w:sz w:val="30"/>
          <w:szCs w:val="30"/>
        </w:rPr>
      </w:pPr>
    </w:p>
    <w:p w14:paraId="771EDFA6">
      <w:pPr>
        <w:spacing w:line="360" w:lineRule="auto"/>
        <w:ind w:firstLine="504" w:firstLineChars="200"/>
        <w:rPr>
          <w:rFonts w:ascii="宋体" w:hAnsi="宋体"/>
          <w:color w:val="auto"/>
          <w:spacing w:val="6"/>
          <w:sz w:val="24"/>
        </w:rPr>
      </w:pPr>
      <w:r>
        <w:rPr>
          <w:rFonts w:hint="eastAsia" w:ascii="宋体" w:hAnsi="宋体"/>
          <w:color w:val="auto"/>
          <w:spacing w:val="6"/>
          <w:sz w:val="24"/>
        </w:rPr>
        <w:t>本公司（联合体）郑重声明，根据《政府采购促进中小企业发展管理办法》(财库〔2020〕46号)的规定，本公司（联合体）参加</w:t>
      </w:r>
      <w:r>
        <w:rPr>
          <w:rFonts w:hint="eastAsia" w:ascii="宋体" w:hAnsi="宋体"/>
          <w:color w:val="auto"/>
          <w:spacing w:val="6"/>
          <w:sz w:val="24"/>
          <w:u w:val="single"/>
        </w:rPr>
        <w:t xml:space="preserve"> （单位名称）</w:t>
      </w:r>
      <w:r>
        <w:rPr>
          <w:rFonts w:hint="eastAsia" w:ascii="宋体" w:hAnsi="宋体"/>
          <w:color w:val="auto"/>
          <w:spacing w:val="6"/>
          <w:sz w:val="24"/>
        </w:rPr>
        <w:t>的</w:t>
      </w:r>
      <w:r>
        <w:rPr>
          <w:rFonts w:hint="eastAsia" w:ascii="宋体" w:hAnsi="宋体"/>
          <w:color w:val="auto"/>
          <w:spacing w:val="6"/>
          <w:sz w:val="24"/>
          <w:u w:val="single"/>
        </w:rPr>
        <w:t xml:space="preserve"> （项目名称）</w:t>
      </w:r>
      <w:r>
        <w:rPr>
          <w:rFonts w:hint="eastAsia" w:ascii="宋体" w:hAnsi="宋体"/>
          <w:color w:val="auto"/>
          <w:spacing w:val="6"/>
          <w:sz w:val="24"/>
        </w:rPr>
        <w:t>采购活动，工程的施工单位全部为符合政策要求的中小企业（或者：服务</w:t>
      </w:r>
      <w:r>
        <w:rPr>
          <w:rFonts w:hint="eastAsia" w:ascii="宋体" w:hAnsi="宋体"/>
          <w:color w:val="auto"/>
          <w:spacing w:val="6"/>
          <w:sz w:val="24"/>
          <w:lang w:val="en-US" w:eastAsia="zh-CN"/>
        </w:rPr>
        <w:t>或货物</w:t>
      </w:r>
      <w:r>
        <w:rPr>
          <w:rFonts w:hint="eastAsia" w:ascii="宋体" w:hAnsi="宋体"/>
          <w:color w:val="auto"/>
          <w:spacing w:val="6"/>
          <w:sz w:val="24"/>
        </w:rPr>
        <w:t xml:space="preserve">全部由符合政策要求的中小企业承接）。相关企业（含联合体中的中小企业、签订分包意向协议的中小企业）的具体情况如下： </w:t>
      </w:r>
    </w:p>
    <w:p w14:paraId="2F7AB6F4">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1. </w:t>
      </w:r>
      <w:r>
        <w:rPr>
          <w:rFonts w:hint="eastAsia" w:ascii="宋体" w:hAnsi="宋体"/>
          <w:color w:val="auto"/>
          <w:spacing w:val="6"/>
          <w:sz w:val="24"/>
          <w:u w:val="single"/>
        </w:rPr>
        <w:t>（</w:t>
      </w:r>
      <w:r>
        <w:rPr>
          <w:rFonts w:hint="eastAsia" w:ascii="宋体" w:hAnsi="宋体"/>
          <w:color w:val="auto"/>
          <w:spacing w:val="6"/>
          <w:sz w:val="24"/>
          <w:u w:val="single"/>
          <w:lang w:val="en-US" w:eastAsia="zh-CN"/>
        </w:rPr>
        <w:t>核心产品/主要货物名称</w:t>
      </w:r>
      <w:r>
        <w:rPr>
          <w:rFonts w:hint="eastAsia" w:ascii="宋体" w:hAnsi="宋体"/>
          <w:color w:val="auto"/>
          <w:spacing w:val="6"/>
          <w:sz w:val="24"/>
          <w:u w:val="single"/>
        </w:rPr>
        <w:t>），</w:t>
      </w:r>
      <w:r>
        <w:rPr>
          <w:rFonts w:hint="eastAsia" w:ascii="宋体" w:hAnsi="宋体"/>
          <w:color w:val="auto"/>
          <w:spacing w:val="6"/>
          <w:sz w:val="24"/>
        </w:rPr>
        <w:t>属于</w:t>
      </w:r>
      <w:r>
        <w:rPr>
          <w:rFonts w:hint="eastAsia" w:ascii="宋体" w:hAnsi="宋体"/>
          <w:color w:val="auto"/>
          <w:spacing w:val="6"/>
          <w:sz w:val="24"/>
          <w:u w:val="single"/>
        </w:rPr>
        <w:t xml:space="preserve"> （采购文件中明确的所属行业）</w:t>
      </w:r>
      <w:r>
        <w:rPr>
          <w:rFonts w:hint="eastAsia" w:ascii="宋体" w:hAnsi="宋体"/>
          <w:color w:val="auto"/>
          <w:spacing w:val="6"/>
          <w:sz w:val="24"/>
        </w:rPr>
        <w:t>；制造商为</w:t>
      </w:r>
      <w:r>
        <w:rPr>
          <w:rFonts w:hint="eastAsia" w:ascii="宋体" w:hAnsi="宋体"/>
          <w:color w:val="auto"/>
          <w:spacing w:val="6"/>
          <w:sz w:val="24"/>
          <w:u w:val="single"/>
        </w:rPr>
        <w:t xml:space="preserve"> （企业名称）</w:t>
      </w:r>
      <w:r>
        <w:rPr>
          <w:rFonts w:hint="eastAsia" w:ascii="宋体" w:hAnsi="宋体"/>
          <w:color w:val="auto"/>
          <w:spacing w:val="6"/>
          <w:sz w:val="24"/>
        </w:rPr>
        <w:t>，从业人员</w:t>
      </w:r>
      <w:r>
        <w:rPr>
          <w:rFonts w:hint="eastAsia" w:ascii="宋体" w:hAnsi="宋体"/>
          <w:color w:val="auto"/>
          <w:spacing w:val="6"/>
          <w:sz w:val="24"/>
          <w:u w:val="single"/>
        </w:rPr>
        <w:t xml:space="preserve">  </w:t>
      </w:r>
      <w:r>
        <w:rPr>
          <w:rFonts w:hint="eastAsia" w:ascii="宋体" w:hAnsi="宋体"/>
          <w:color w:val="auto"/>
          <w:spacing w:val="6"/>
          <w:sz w:val="24"/>
        </w:rPr>
        <w:t>人，营业收入为</w:t>
      </w:r>
      <w:r>
        <w:rPr>
          <w:rFonts w:hint="eastAsia" w:ascii="宋体" w:hAnsi="宋体"/>
          <w:color w:val="auto"/>
          <w:spacing w:val="6"/>
          <w:sz w:val="24"/>
          <w:u w:val="single"/>
        </w:rPr>
        <w:t xml:space="preserve">   </w:t>
      </w:r>
      <w:r>
        <w:rPr>
          <w:rFonts w:hint="eastAsia" w:ascii="宋体" w:hAnsi="宋体"/>
          <w:color w:val="auto"/>
          <w:spacing w:val="6"/>
          <w:sz w:val="24"/>
        </w:rPr>
        <w:t>万元，资产总额为</w:t>
      </w:r>
      <w:r>
        <w:rPr>
          <w:rFonts w:hint="eastAsia" w:ascii="宋体" w:hAnsi="宋体"/>
          <w:color w:val="auto"/>
          <w:spacing w:val="6"/>
          <w:sz w:val="24"/>
          <w:u w:val="single"/>
        </w:rPr>
        <w:t xml:space="preserve">   </w:t>
      </w:r>
      <w:r>
        <w:rPr>
          <w:rFonts w:hint="eastAsia" w:ascii="宋体" w:hAnsi="宋体"/>
          <w:color w:val="auto"/>
          <w:spacing w:val="6"/>
          <w:sz w:val="24"/>
        </w:rPr>
        <w:t>万元，属于</w:t>
      </w:r>
      <w:r>
        <w:rPr>
          <w:rFonts w:hint="eastAsia" w:ascii="宋体" w:hAnsi="宋体"/>
          <w:color w:val="auto"/>
          <w:spacing w:val="6"/>
          <w:sz w:val="24"/>
          <w:u w:val="single"/>
        </w:rPr>
        <w:t>（中型企业、小型企业、微型企业</w:t>
      </w:r>
      <w:r>
        <w:rPr>
          <w:rFonts w:hint="eastAsia" w:ascii="宋体" w:hAnsi="宋体"/>
          <w:color w:val="auto"/>
          <w:spacing w:val="6"/>
          <w:sz w:val="24"/>
        </w:rPr>
        <w:t xml:space="preserve">）； </w:t>
      </w:r>
    </w:p>
    <w:p w14:paraId="25FBD565">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2. </w:t>
      </w:r>
      <w:r>
        <w:rPr>
          <w:rFonts w:hint="eastAsia" w:ascii="宋体" w:hAnsi="宋体"/>
          <w:color w:val="auto"/>
          <w:spacing w:val="6"/>
          <w:sz w:val="24"/>
          <w:u w:val="single"/>
        </w:rPr>
        <w:t>（</w:t>
      </w:r>
      <w:r>
        <w:rPr>
          <w:rFonts w:hint="eastAsia" w:ascii="宋体" w:hAnsi="宋体"/>
          <w:color w:val="auto"/>
          <w:spacing w:val="6"/>
          <w:sz w:val="24"/>
          <w:u w:val="single"/>
          <w:lang w:val="en-US" w:eastAsia="zh-CN"/>
        </w:rPr>
        <w:t>其他货物名称</w:t>
      </w:r>
      <w:r>
        <w:rPr>
          <w:rFonts w:hint="eastAsia" w:ascii="宋体" w:hAnsi="宋体"/>
          <w:color w:val="auto"/>
          <w:spacing w:val="6"/>
          <w:sz w:val="24"/>
          <w:u w:val="single"/>
        </w:rPr>
        <w:t>）</w:t>
      </w:r>
      <w:r>
        <w:rPr>
          <w:rFonts w:hint="eastAsia" w:ascii="宋体" w:hAnsi="宋体"/>
          <w:color w:val="auto"/>
          <w:spacing w:val="6"/>
          <w:sz w:val="24"/>
        </w:rPr>
        <w:t xml:space="preserve">，属于 </w:t>
      </w:r>
      <w:r>
        <w:rPr>
          <w:rFonts w:hint="eastAsia" w:ascii="宋体" w:hAnsi="宋体"/>
          <w:color w:val="auto"/>
          <w:spacing w:val="6"/>
          <w:sz w:val="24"/>
          <w:u w:val="single"/>
        </w:rPr>
        <w:t>（采购文件中明确的所属行业）</w:t>
      </w:r>
      <w:r>
        <w:rPr>
          <w:rFonts w:hint="eastAsia" w:ascii="宋体" w:hAnsi="宋体"/>
          <w:color w:val="auto"/>
          <w:spacing w:val="6"/>
          <w:sz w:val="24"/>
        </w:rPr>
        <w:t>；制造商为</w:t>
      </w:r>
      <w:r>
        <w:rPr>
          <w:rFonts w:hint="eastAsia" w:ascii="宋体" w:hAnsi="宋体"/>
          <w:color w:val="auto"/>
          <w:spacing w:val="6"/>
          <w:sz w:val="24"/>
          <w:u w:val="single"/>
        </w:rPr>
        <w:t xml:space="preserve"> （企业名称）</w:t>
      </w:r>
      <w:r>
        <w:rPr>
          <w:rFonts w:hint="eastAsia" w:ascii="宋体" w:hAnsi="宋体"/>
          <w:color w:val="auto"/>
          <w:spacing w:val="6"/>
          <w:sz w:val="24"/>
        </w:rPr>
        <w:t>，从业人员</w:t>
      </w:r>
      <w:r>
        <w:rPr>
          <w:rFonts w:hint="eastAsia" w:ascii="宋体" w:hAnsi="宋体"/>
          <w:color w:val="auto"/>
          <w:spacing w:val="6"/>
          <w:sz w:val="24"/>
          <w:u w:val="single"/>
        </w:rPr>
        <w:t xml:space="preserve">  </w:t>
      </w:r>
      <w:r>
        <w:rPr>
          <w:rFonts w:hint="eastAsia" w:ascii="宋体" w:hAnsi="宋体"/>
          <w:color w:val="auto"/>
          <w:spacing w:val="6"/>
          <w:sz w:val="24"/>
        </w:rPr>
        <w:t>人，营业收入为</w:t>
      </w:r>
      <w:r>
        <w:rPr>
          <w:rFonts w:hint="eastAsia" w:ascii="宋体" w:hAnsi="宋体"/>
          <w:color w:val="auto"/>
          <w:spacing w:val="6"/>
          <w:sz w:val="24"/>
          <w:u w:val="single"/>
        </w:rPr>
        <w:t xml:space="preserve">   </w:t>
      </w:r>
      <w:r>
        <w:rPr>
          <w:rFonts w:hint="eastAsia" w:ascii="宋体" w:hAnsi="宋体"/>
          <w:color w:val="auto"/>
          <w:spacing w:val="6"/>
          <w:sz w:val="24"/>
        </w:rPr>
        <w:t>万元，资产总额为</w:t>
      </w:r>
      <w:r>
        <w:rPr>
          <w:rFonts w:hint="eastAsia" w:ascii="宋体" w:hAnsi="宋体"/>
          <w:color w:val="auto"/>
          <w:spacing w:val="6"/>
          <w:sz w:val="24"/>
          <w:u w:val="single"/>
        </w:rPr>
        <w:t xml:space="preserve">   </w:t>
      </w:r>
      <w:r>
        <w:rPr>
          <w:rFonts w:hint="eastAsia" w:ascii="宋体" w:hAnsi="宋体"/>
          <w:color w:val="auto"/>
          <w:spacing w:val="6"/>
          <w:sz w:val="24"/>
        </w:rPr>
        <w:t>万元，属于</w:t>
      </w:r>
      <w:r>
        <w:rPr>
          <w:rFonts w:hint="eastAsia" w:ascii="宋体" w:hAnsi="宋体"/>
          <w:color w:val="auto"/>
          <w:spacing w:val="6"/>
          <w:sz w:val="24"/>
          <w:u w:val="single"/>
        </w:rPr>
        <w:t>（中型企业、小型企业、微型企业）</w:t>
      </w:r>
      <w:r>
        <w:rPr>
          <w:rFonts w:hint="eastAsia" w:ascii="宋体" w:hAnsi="宋体"/>
          <w:color w:val="auto"/>
          <w:spacing w:val="6"/>
          <w:sz w:val="24"/>
        </w:rPr>
        <w:t xml:space="preserve">； </w:t>
      </w:r>
    </w:p>
    <w:p w14:paraId="3B86D4D3">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 </w:t>
      </w:r>
    </w:p>
    <w:p w14:paraId="4B6A1139">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以上企业，不属于大企业的分支机构，不存在控股股东为大企业的情形，也不存在与大企业的负责人为同一人的情形。 </w:t>
      </w:r>
    </w:p>
    <w:p w14:paraId="67759D15">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本企业对上述声明内容的真实性负责。如有虚假，将依法承担相应责任。 </w:t>
      </w:r>
    </w:p>
    <w:p w14:paraId="1E488D05">
      <w:pPr>
        <w:spacing w:line="360" w:lineRule="auto"/>
        <w:ind w:firstLine="504" w:firstLineChars="200"/>
        <w:rPr>
          <w:rFonts w:ascii="宋体" w:hAnsi="宋体"/>
          <w:color w:val="auto"/>
          <w:spacing w:val="6"/>
          <w:sz w:val="24"/>
        </w:rPr>
      </w:pPr>
    </w:p>
    <w:p w14:paraId="64E3B4CD">
      <w:pPr>
        <w:spacing w:line="360" w:lineRule="auto"/>
        <w:ind w:firstLine="420" w:firstLineChars="200"/>
        <w:rPr>
          <w:rFonts w:hAnsi="宋体"/>
          <w:color w:val="auto"/>
          <w:szCs w:val="20"/>
        </w:rPr>
      </w:pPr>
    </w:p>
    <w:p w14:paraId="33B3EAE9">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企业名称（电子签章）： </w:t>
      </w:r>
    </w:p>
    <w:p w14:paraId="65D8BD94">
      <w:pPr>
        <w:spacing w:line="360" w:lineRule="auto"/>
        <w:ind w:firstLine="504" w:firstLineChars="200"/>
        <w:rPr>
          <w:rFonts w:ascii="宋体" w:hAnsi="宋体"/>
          <w:color w:val="auto"/>
          <w:spacing w:val="6"/>
          <w:sz w:val="24"/>
        </w:rPr>
      </w:pPr>
      <w:r>
        <w:rPr>
          <w:rFonts w:hint="eastAsia" w:ascii="宋体" w:hAnsi="宋体"/>
          <w:color w:val="auto"/>
          <w:spacing w:val="6"/>
          <w:sz w:val="24"/>
        </w:rPr>
        <w:t xml:space="preserve">日期： </w:t>
      </w:r>
    </w:p>
    <w:p w14:paraId="1686EB4E">
      <w:pPr>
        <w:spacing w:line="360" w:lineRule="auto"/>
        <w:ind w:firstLine="504" w:firstLineChars="200"/>
        <w:rPr>
          <w:rFonts w:ascii="宋体" w:hAnsi="宋体"/>
          <w:color w:val="auto"/>
          <w:spacing w:val="6"/>
          <w:sz w:val="24"/>
        </w:rPr>
      </w:pPr>
    </w:p>
    <w:p w14:paraId="168CF29C">
      <w:pPr>
        <w:spacing w:line="360" w:lineRule="auto"/>
        <w:ind w:firstLine="504" w:firstLineChars="200"/>
        <w:rPr>
          <w:rFonts w:ascii="宋体" w:hAnsi="宋体"/>
          <w:color w:val="auto"/>
          <w:spacing w:val="6"/>
          <w:sz w:val="24"/>
          <w:szCs w:val="20"/>
        </w:rPr>
      </w:pPr>
    </w:p>
    <w:p w14:paraId="042B0BB5">
      <w:pPr>
        <w:spacing w:after="120"/>
        <w:ind w:left="1470" w:leftChars="700" w:right="1470" w:rightChars="700"/>
        <w:rPr>
          <w:color w:val="auto"/>
        </w:rPr>
      </w:pPr>
    </w:p>
    <w:p w14:paraId="256BB5F8">
      <w:pPr>
        <w:spacing w:line="360" w:lineRule="auto"/>
        <w:ind w:firstLine="506" w:firstLineChars="200"/>
        <w:rPr>
          <w:rFonts w:ascii="宋体" w:hAnsi="宋体"/>
          <w:b/>
          <w:bCs/>
          <w:color w:val="auto"/>
          <w:spacing w:val="6"/>
          <w:sz w:val="24"/>
        </w:rPr>
      </w:pPr>
      <w:r>
        <w:rPr>
          <w:rFonts w:hint="eastAsia" w:ascii="宋体" w:hAnsi="宋体"/>
          <w:b/>
          <w:bCs/>
          <w:color w:val="auto"/>
          <w:spacing w:val="6"/>
          <w:sz w:val="24"/>
        </w:rPr>
        <w:t>注：从业人员、营业收入、资产总额填报上一年度数据，无上一年度数据的新成立企业可不填写。</w:t>
      </w:r>
    </w:p>
    <w:p w14:paraId="10CB053D">
      <w:pPr>
        <w:spacing w:line="360" w:lineRule="auto"/>
        <w:rPr>
          <w:rFonts w:ascii="宋体" w:hAnsi="宋体" w:cs="宋体"/>
          <w:color w:val="auto"/>
          <w:szCs w:val="21"/>
        </w:rPr>
      </w:pPr>
    </w:p>
    <w:p w14:paraId="1FDCA861">
      <w:pPr>
        <w:spacing w:line="500" w:lineRule="exact"/>
        <w:jc w:val="left"/>
        <w:rPr>
          <w:rFonts w:ascii="宋体" w:hAnsi="宋体" w:eastAsia="楷体_GB2312"/>
          <w:b/>
          <w:color w:val="auto"/>
          <w:sz w:val="24"/>
        </w:rPr>
      </w:pPr>
      <w:r>
        <w:rPr>
          <w:rFonts w:hint="eastAsia" w:ascii="宋体" w:hAnsi="宋体" w:cs="宋体"/>
          <w:color w:val="auto"/>
          <w:sz w:val="24"/>
        </w:rPr>
        <w:t>附件2</w:t>
      </w:r>
      <w:r>
        <w:rPr>
          <w:rFonts w:hint="eastAsia" w:ascii="宋体" w:hAnsi="宋体" w:cs="宋体"/>
          <w:b/>
          <w:color w:val="auto"/>
          <w:sz w:val="24"/>
        </w:rPr>
        <w:t>：</w:t>
      </w:r>
    </w:p>
    <w:p w14:paraId="2BFFDB3A">
      <w:pPr>
        <w:spacing w:line="588" w:lineRule="exact"/>
        <w:jc w:val="center"/>
        <w:rPr>
          <w:rFonts w:hint="eastAsia" w:ascii="宋体" w:hAnsi="宋体"/>
          <w:b/>
          <w:color w:val="auto"/>
          <w:spacing w:val="6"/>
          <w:sz w:val="32"/>
          <w:szCs w:val="32"/>
        </w:rPr>
      </w:pPr>
      <w:bookmarkStart w:id="110" w:name="_Toc507409072"/>
      <w:bookmarkStart w:id="111" w:name="_Toc4751728"/>
      <w:bookmarkStart w:id="112" w:name="_Toc16439"/>
      <w:bookmarkStart w:id="113" w:name="_Toc507412335"/>
      <w:bookmarkStart w:id="114" w:name="_Toc32358"/>
      <w:bookmarkStart w:id="115" w:name="_Toc10038956"/>
      <w:bookmarkStart w:id="116" w:name="_Toc23751"/>
      <w:r>
        <w:rPr>
          <w:rFonts w:hint="eastAsia" w:ascii="宋体" w:hAnsi="宋体"/>
          <w:b/>
          <w:color w:val="auto"/>
          <w:spacing w:val="6"/>
          <w:sz w:val="32"/>
          <w:szCs w:val="32"/>
        </w:rPr>
        <w:t>残疾人福利性单位声明函</w:t>
      </w:r>
      <w:bookmarkEnd w:id="110"/>
      <w:bookmarkEnd w:id="111"/>
      <w:bookmarkEnd w:id="112"/>
      <w:bookmarkEnd w:id="113"/>
      <w:bookmarkEnd w:id="114"/>
      <w:bookmarkEnd w:id="115"/>
      <w:bookmarkEnd w:id="116"/>
    </w:p>
    <w:p w14:paraId="44E91E77">
      <w:pPr>
        <w:spacing w:line="588" w:lineRule="exact"/>
        <w:ind w:firstLine="624" w:firstLineChars="200"/>
        <w:rPr>
          <w:rFonts w:ascii="仿宋_GB2312" w:eastAsia="仿宋_GB2312"/>
          <w:color w:val="auto"/>
          <w:spacing w:val="6"/>
          <w:sz w:val="30"/>
          <w:szCs w:val="30"/>
        </w:rPr>
      </w:pPr>
    </w:p>
    <w:p w14:paraId="3E47C220">
      <w:pPr>
        <w:spacing w:line="360" w:lineRule="auto"/>
        <w:ind w:firstLine="504" w:firstLineChars="200"/>
        <w:rPr>
          <w:rFonts w:ascii="宋体" w:hAnsi="宋体"/>
          <w:color w:val="auto"/>
          <w:spacing w:val="6"/>
          <w:sz w:val="24"/>
        </w:rPr>
      </w:pPr>
      <w:r>
        <w:rPr>
          <w:rFonts w:hint="eastAsia" w:ascii="宋体" w:hAnsi="宋体"/>
          <w:color w:val="auto"/>
          <w:spacing w:val="6"/>
          <w:sz w:val="24"/>
        </w:rPr>
        <w:t>本单位郑重声明，根据《财政部 民政部 中国残疾人联合会关于促进残疾人就业政府采购政策的通知》（财库</w:t>
      </w:r>
      <w:r>
        <w:rPr>
          <w:rFonts w:hint="eastAsia" w:ascii="宋体" w:hAnsi="宋体"/>
          <w:color w:val="auto"/>
          <w:sz w:val="24"/>
        </w:rPr>
        <w:t>〔2017〕 141</w:t>
      </w:r>
      <w:r>
        <w:rPr>
          <w:rFonts w:hint="eastAsia" w:ascii="宋体" w:hAnsi="宋体"/>
          <w:color w:val="auto"/>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C79968">
      <w:pPr>
        <w:spacing w:line="360" w:lineRule="auto"/>
        <w:ind w:firstLine="504" w:firstLineChars="200"/>
        <w:rPr>
          <w:rFonts w:ascii="宋体" w:hAnsi="宋体"/>
          <w:color w:val="auto"/>
          <w:spacing w:val="6"/>
          <w:sz w:val="24"/>
        </w:rPr>
      </w:pPr>
      <w:r>
        <w:rPr>
          <w:rFonts w:hint="eastAsia" w:ascii="宋体" w:hAnsi="宋体"/>
          <w:color w:val="auto"/>
          <w:spacing w:val="6"/>
          <w:sz w:val="24"/>
        </w:rPr>
        <w:t>本单位对上述声明的真实性负责。如有虚假，将依法承担相应责任。</w:t>
      </w:r>
    </w:p>
    <w:p w14:paraId="04745AAA">
      <w:pPr>
        <w:spacing w:line="360" w:lineRule="auto"/>
        <w:ind w:firstLine="504" w:firstLineChars="200"/>
        <w:rPr>
          <w:rFonts w:ascii="宋体" w:hAnsi="宋体"/>
          <w:color w:val="auto"/>
          <w:spacing w:val="6"/>
          <w:sz w:val="24"/>
        </w:rPr>
      </w:pPr>
    </w:p>
    <w:p w14:paraId="3142C3F4">
      <w:pPr>
        <w:spacing w:line="360" w:lineRule="auto"/>
        <w:ind w:firstLine="420" w:firstLineChars="200"/>
        <w:rPr>
          <w:rFonts w:hAnsi="宋体"/>
          <w:color w:val="auto"/>
          <w:szCs w:val="20"/>
        </w:rPr>
      </w:pPr>
    </w:p>
    <w:p w14:paraId="0005C8B8">
      <w:pPr>
        <w:spacing w:line="360" w:lineRule="auto"/>
        <w:ind w:firstLine="504" w:firstLineChars="200"/>
        <w:rPr>
          <w:rFonts w:ascii="宋体" w:hAnsi="宋体"/>
          <w:color w:val="auto"/>
          <w:spacing w:val="6"/>
          <w:sz w:val="24"/>
        </w:rPr>
      </w:pPr>
    </w:p>
    <w:p w14:paraId="2077A4F6">
      <w:pPr>
        <w:tabs>
          <w:tab w:val="left" w:pos="4860"/>
        </w:tabs>
        <w:spacing w:line="360" w:lineRule="auto"/>
        <w:ind w:right="1560" w:firstLine="504" w:firstLineChars="200"/>
        <w:jc w:val="center"/>
        <w:rPr>
          <w:rFonts w:ascii="宋体" w:hAnsi="宋体"/>
          <w:color w:val="auto"/>
          <w:spacing w:val="6"/>
          <w:sz w:val="24"/>
        </w:rPr>
      </w:pPr>
      <w:r>
        <w:rPr>
          <w:rFonts w:hint="eastAsia" w:ascii="宋体" w:hAnsi="宋体"/>
          <w:color w:val="auto"/>
          <w:spacing w:val="6"/>
          <w:sz w:val="24"/>
        </w:rPr>
        <w:t xml:space="preserve">               单位名称（电子签章）：</w:t>
      </w:r>
    </w:p>
    <w:p w14:paraId="65CF23D9">
      <w:pPr>
        <w:tabs>
          <w:tab w:val="left" w:pos="4860"/>
        </w:tabs>
        <w:spacing w:line="360" w:lineRule="auto"/>
        <w:ind w:right="1560" w:firstLine="504" w:firstLineChars="200"/>
        <w:jc w:val="center"/>
        <w:rPr>
          <w:rFonts w:ascii="宋体" w:hAnsi="宋体"/>
          <w:color w:val="auto"/>
          <w:spacing w:val="6"/>
          <w:sz w:val="24"/>
        </w:rPr>
      </w:pPr>
      <w:r>
        <w:rPr>
          <w:rFonts w:hint="eastAsia" w:ascii="宋体" w:hAnsi="宋体"/>
          <w:color w:val="auto"/>
          <w:spacing w:val="6"/>
          <w:sz w:val="24"/>
        </w:rPr>
        <w:t xml:space="preserve">       日  期：</w:t>
      </w:r>
    </w:p>
    <w:p w14:paraId="257DCD43">
      <w:pPr>
        <w:spacing w:line="360" w:lineRule="auto"/>
        <w:rPr>
          <w:color w:val="auto"/>
        </w:rPr>
      </w:pPr>
    </w:p>
    <w:p w14:paraId="779288AC">
      <w:pPr>
        <w:spacing w:line="360" w:lineRule="auto"/>
        <w:rPr>
          <w:color w:val="auto"/>
        </w:rPr>
      </w:pPr>
    </w:p>
    <w:p w14:paraId="0095CE49">
      <w:pPr>
        <w:spacing w:line="360" w:lineRule="auto"/>
        <w:ind w:firstLine="420" w:firstLineChars="200"/>
        <w:rPr>
          <w:rFonts w:hAnsi="宋体"/>
          <w:color w:val="auto"/>
          <w:szCs w:val="20"/>
        </w:rPr>
      </w:pPr>
    </w:p>
    <w:p w14:paraId="153C02C4">
      <w:pPr>
        <w:spacing w:line="360" w:lineRule="auto"/>
        <w:rPr>
          <w:rFonts w:ascii="宋体" w:hAnsi="宋体"/>
          <w:b/>
          <w:color w:val="auto"/>
          <w:sz w:val="24"/>
        </w:rPr>
      </w:pPr>
      <w:r>
        <w:rPr>
          <w:rFonts w:ascii="宋体" w:hAnsi="宋体"/>
          <w:b/>
          <w:color w:val="auto"/>
          <w:sz w:val="24"/>
        </w:rPr>
        <w:t>注</w:t>
      </w:r>
      <w:r>
        <w:rPr>
          <w:rFonts w:hint="eastAsia" w:ascii="宋体" w:hAnsi="宋体"/>
          <w:b/>
          <w:color w:val="auto"/>
          <w:sz w:val="24"/>
        </w:rPr>
        <w:t>：中标投标人为残疾人福利性单位的，其《残疾人福利性单位声明函》将随中标结果同时公告，接受社会监督。投标人提供的《残疾人福利性单位声明函》与事实不符的，依照《政府采购法》第七十七条第一款的规定追究法律责任。</w:t>
      </w:r>
    </w:p>
    <w:p w14:paraId="6816B20A">
      <w:pPr>
        <w:widowControl/>
        <w:rPr>
          <w:rFonts w:ascii="宋体"/>
          <w:b/>
          <w:color w:val="auto"/>
          <w:sz w:val="28"/>
          <w:szCs w:val="28"/>
        </w:rPr>
      </w:pPr>
      <w:r>
        <w:rPr>
          <w:rFonts w:ascii="宋体" w:hAnsi="宋体"/>
          <w:b/>
          <w:color w:val="auto"/>
          <w:sz w:val="24"/>
        </w:rPr>
        <w:br w:type="page"/>
      </w:r>
      <w:r>
        <w:rPr>
          <w:rFonts w:hint="eastAsia" w:ascii="宋体" w:hAnsi="宋体" w:cs="宋体"/>
          <w:color w:val="auto"/>
          <w:sz w:val="24"/>
        </w:rPr>
        <w:t>附件3</w:t>
      </w:r>
      <w:r>
        <w:rPr>
          <w:rFonts w:hint="eastAsia" w:ascii="宋体" w:hAnsi="宋体" w:cs="宋体"/>
          <w:b/>
          <w:color w:val="auto"/>
          <w:sz w:val="24"/>
        </w:rPr>
        <w:t>：</w:t>
      </w:r>
    </w:p>
    <w:p w14:paraId="28481D27">
      <w:pPr>
        <w:spacing w:line="588" w:lineRule="exact"/>
        <w:jc w:val="center"/>
        <w:rPr>
          <w:rFonts w:ascii="宋体" w:hAnsi="宋体"/>
          <w:b/>
          <w:color w:val="auto"/>
          <w:spacing w:val="6"/>
          <w:sz w:val="32"/>
          <w:szCs w:val="32"/>
        </w:rPr>
      </w:pPr>
      <w:bookmarkStart w:id="117" w:name="_Toc507409073"/>
      <w:bookmarkStart w:id="118" w:name="_Toc16674"/>
      <w:bookmarkStart w:id="119" w:name="_Toc4751729"/>
      <w:bookmarkStart w:id="120" w:name="_Toc28098"/>
      <w:bookmarkStart w:id="121" w:name="_Toc17283"/>
      <w:bookmarkStart w:id="122" w:name="_Toc507412336"/>
      <w:bookmarkStart w:id="123" w:name="_Toc10038957"/>
      <w:r>
        <w:rPr>
          <w:rFonts w:hint="eastAsia" w:ascii="宋体" w:hAnsi="宋体"/>
          <w:b/>
          <w:color w:val="auto"/>
          <w:spacing w:val="6"/>
          <w:sz w:val="32"/>
          <w:szCs w:val="32"/>
        </w:rPr>
        <w:t>监狱企业证明文件</w:t>
      </w:r>
      <w:bookmarkEnd w:id="117"/>
      <w:bookmarkEnd w:id="118"/>
      <w:bookmarkEnd w:id="119"/>
      <w:bookmarkEnd w:id="120"/>
      <w:bookmarkEnd w:id="121"/>
      <w:bookmarkEnd w:id="122"/>
      <w:bookmarkEnd w:id="123"/>
    </w:p>
    <w:p w14:paraId="423AAB00">
      <w:pPr>
        <w:spacing w:line="588" w:lineRule="exact"/>
        <w:ind w:firstLine="420" w:firstLineChars="200"/>
        <w:rPr>
          <w:rFonts w:hAnsi="宋体"/>
          <w:color w:val="auto"/>
          <w:szCs w:val="20"/>
        </w:rPr>
      </w:pPr>
    </w:p>
    <w:p w14:paraId="5E976077">
      <w:pPr>
        <w:spacing w:line="360" w:lineRule="auto"/>
        <w:ind w:firstLine="480" w:firstLineChars="200"/>
        <w:jc w:val="left"/>
        <w:rPr>
          <w:rFonts w:ascii="宋体" w:hAnsi="宋体"/>
          <w:color w:val="auto"/>
          <w:sz w:val="24"/>
        </w:rPr>
      </w:pPr>
      <w:r>
        <w:rPr>
          <w:rFonts w:hint="eastAsia" w:ascii="宋体" w:hAnsi="宋体"/>
          <w:color w:val="auto"/>
          <w:sz w:val="24"/>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B1E8C19">
      <w:pPr>
        <w:spacing w:line="360" w:lineRule="auto"/>
        <w:ind w:firstLine="600" w:firstLineChars="250"/>
        <w:jc w:val="left"/>
        <w:rPr>
          <w:rFonts w:hAnsi="宋体"/>
          <w:color w:val="auto"/>
          <w:sz w:val="24"/>
        </w:rPr>
      </w:pPr>
      <w:r>
        <w:rPr>
          <w:rFonts w:hint="eastAsia" w:ascii="宋体" w:hAnsi="宋体"/>
          <w:color w:val="auto"/>
          <w:sz w:val="24"/>
        </w:rPr>
        <w:t>监狱企业参加政府采购活动时，应当提供由省级以上监狱管理局、戒毒管理局（含新疆生产建设兵团）出具的属于监狱企业的证明文件。</w:t>
      </w:r>
    </w:p>
    <w:p w14:paraId="01A14BE6">
      <w:pPr>
        <w:keepNext/>
        <w:keepLines/>
        <w:spacing w:before="340" w:after="330" w:line="578" w:lineRule="auto"/>
        <w:jc w:val="center"/>
        <w:rPr>
          <w:rFonts w:hAnsi="宋体"/>
          <w:b/>
          <w:bCs/>
          <w:color w:val="auto"/>
          <w:kern w:val="44"/>
          <w:sz w:val="24"/>
          <w:szCs w:val="44"/>
        </w:rPr>
      </w:pPr>
    </w:p>
    <w:p w14:paraId="26900D25">
      <w:pPr>
        <w:rPr>
          <w:rFonts w:hAnsi="宋体"/>
          <w:color w:val="auto"/>
          <w:sz w:val="24"/>
        </w:rPr>
      </w:pPr>
    </w:p>
    <w:p w14:paraId="442E519D">
      <w:pPr>
        <w:spacing w:line="360" w:lineRule="auto"/>
        <w:ind w:firstLine="480" w:firstLineChars="200"/>
        <w:rPr>
          <w:rFonts w:hAnsi="宋体"/>
          <w:color w:val="auto"/>
          <w:sz w:val="24"/>
          <w:szCs w:val="20"/>
        </w:rPr>
      </w:pPr>
    </w:p>
    <w:p w14:paraId="3C94FB40">
      <w:pPr>
        <w:spacing w:after="120"/>
        <w:ind w:left="1470" w:leftChars="700" w:right="1470" w:rightChars="700"/>
        <w:rPr>
          <w:rFonts w:hAnsi="宋体"/>
          <w:color w:val="auto"/>
          <w:sz w:val="24"/>
        </w:rPr>
      </w:pPr>
    </w:p>
    <w:p w14:paraId="2F78050F">
      <w:pPr>
        <w:rPr>
          <w:rFonts w:hAnsi="宋体"/>
          <w:color w:val="auto"/>
          <w:sz w:val="24"/>
        </w:rPr>
      </w:pPr>
    </w:p>
    <w:p w14:paraId="703649B3">
      <w:pPr>
        <w:spacing w:line="360" w:lineRule="auto"/>
        <w:ind w:firstLine="480" w:firstLineChars="200"/>
        <w:rPr>
          <w:rFonts w:hAnsi="宋体"/>
          <w:color w:val="auto"/>
          <w:sz w:val="24"/>
          <w:szCs w:val="20"/>
        </w:rPr>
      </w:pPr>
    </w:p>
    <w:p w14:paraId="1C2B5A7C">
      <w:pPr>
        <w:spacing w:after="120"/>
        <w:ind w:left="1470" w:leftChars="700" w:right="1470" w:rightChars="700"/>
        <w:rPr>
          <w:rFonts w:hAnsi="宋体"/>
          <w:color w:val="auto"/>
          <w:sz w:val="24"/>
        </w:rPr>
      </w:pPr>
    </w:p>
    <w:p w14:paraId="694F6572">
      <w:pPr>
        <w:rPr>
          <w:rFonts w:hAnsi="宋体"/>
          <w:color w:val="auto"/>
          <w:sz w:val="24"/>
        </w:rPr>
      </w:pPr>
    </w:p>
    <w:p w14:paraId="0496DC2E">
      <w:pPr>
        <w:spacing w:line="360" w:lineRule="auto"/>
        <w:ind w:firstLine="480" w:firstLineChars="200"/>
        <w:rPr>
          <w:rFonts w:hAnsi="宋体"/>
          <w:color w:val="auto"/>
          <w:sz w:val="24"/>
          <w:szCs w:val="20"/>
        </w:rPr>
      </w:pPr>
    </w:p>
    <w:p w14:paraId="4D9C1C90">
      <w:pPr>
        <w:spacing w:after="120"/>
        <w:ind w:left="1470" w:leftChars="700" w:right="1470" w:rightChars="700"/>
        <w:rPr>
          <w:rFonts w:hAnsi="宋体"/>
          <w:color w:val="auto"/>
          <w:sz w:val="24"/>
        </w:rPr>
      </w:pPr>
    </w:p>
    <w:p w14:paraId="6A944668">
      <w:pPr>
        <w:rPr>
          <w:rFonts w:hAnsi="宋体"/>
          <w:color w:val="auto"/>
          <w:sz w:val="24"/>
        </w:rPr>
      </w:pPr>
    </w:p>
    <w:p w14:paraId="70AB1097">
      <w:pPr>
        <w:spacing w:line="360" w:lineRule="auto"/>
        <w:ind w:firstLine="480" w:firstLineChars="200"/>
        <w:rPr>
          <w:rFonts w:hAnsi="宋体"/>
          <w:color w:val="auto"/>
          <w:sz w:val="24"/>
          <w:szCs w:val="20"/>
        </w:rPr>
      </w:pPr>
    </w:p>
    <w:p w14:paraId="7D6522E3">
      <w:pPr>
        <w:spacing w:after="120"/>
        <w:ind w:left="1470" w:leftChars="700" w:right="1470" w:rightChars="700"/>
        <w:rPr>
          <w:rFonts w:hAnsi="宋体"/>
          <w:color w:val="auto"/>
          <w:sz w:val="24"/>
        </w:rPr>
      </w:pPr>
    </w:p>
    <w:p w14:paraId="71691DCB">
      <w:pPr>
        <w:rPr>
          <w:rFonts w:hAnsi="宋体"/>
          <w:color w:val="auto"/>
          <w:sz w:val="24"/>
        </w:rPr>
      </w:pPr>
    </w:p>
    <w:p w14:paraId="7D39C510">
      <w:pPr>
        <w:spacing w:line="360" w:lineRule="auto"/>
        <w:ind w:firstLine="480" w:firstLineChars="200"/>
        <w:rPr>
          <w:rFonts w:hAnsi="宋体"/>
          <w:color w:val="auto"/>
          <w:sz w:val="24"/>
          <w:szCs w:val="20"/>
        </w:rPr>
      </w:pPr>
    </w:p>
    <w:p w14:paraId="689C96DE">
      <w:pPr>
        <w:spacing w:after="120"/>
        <w:ind w:left="1470" w:leftChars="700" w:right="1470" w:rightChars="700"/>
        <w:rPr>
          <w:rFonts w:hAnsi="宋体"/>
          <w:color w:val="auto"/>
          <w:sz w:val="24"/>
        </w:rPr>
      </w:pPr>
    </w:p>
    <w:p w14:paraId="32245DA4">
      <w:pPr>
        <w:rPr>
          <w:rFonts w:hAnsi="宋体"/>
          <w:color w:val="auto"/>
          <w:sz w:val="24"/>
        </w:rPr>
      </w:pPr>
    </w:p>
    <w:p w14:paraId="334A1702">
      <w:pPr>
        <w:spacing w:line="360" w:lineRule="auto"/>
        <w:ind w:firstLine="480" w:firstLineChars="200"/>
        <w:rPr>
          <w:rFonts w:hAnsi="宋体"/>
          <w:color w:val="auto"/>
          <w:sz w:val="24"/>
          <w:szCs w:val="20"/>
        </w:rPr>
      </w:pPr>
    </w:p>
    <w:p w14:paraId="01908477">
      <w:pPr>
        <w:spacing w:line="360" w:lineRule="auto"/>
        <w:jc w:val="both"/>
        <w:rPr>
          <w:rFonts w:hint="eastAsia" w:ascii="宋体" w:hAnsi="宋体"/>
          <w:b/>
          <w:bCs/>
          <w:color w:val="auto"/>
          <w:sz w:val="32"/>
          <w:szCs w:val="32"/>
        </w:rPr>
      </w:pPr>
      <w:r>
        <w:rPr>
          <w:rFonts w:hint="eastAsia" w:ascii="宋体" w:hAnsi="宋体"/>
          <w:b/>
          <w:color w:val="auto"/>
          <w:sz w:val="32"/>
          <w:szCs w:val="32"/>
          <w:lang w:val="en-US" w:eastAsia="zh-CN"/>
        </w:rPr>
        <w:t>二、</w:t>
      </w:r>
      <w:r>
        <w:rPr>
          <w:rFonts w:hint="eastAsia" w:ascii="宋体" w:hAnsi="宋体"/>
          <w:b/>
          <w:bCs/>
          <w:color w:val="auto"/>
          <w:sz w:val="32"/>
          <w:szCs w:val="32"/>
        </w:rPr>
        <w:t>报价部分</w:t>
      </w:r>
    </w:p>
    <w:p w14:paraId="2A70B1F8">
      <w:pPr>
        <w:spacing w:line="360" w:lineRule="auto"/>
        <w:jc w:val="center"/>
        <w:rPr>
          <w:rFonts w:ascii="宋体" w:hAnsi="宋体"/>
          <w:color w:val="auto"/>
          <w:kern w:val="0"/>
          <w:szCs w:val="21"/>
        </w:rPr>
      </w:pPr>
      <w:r>
        <w:rPr>
          <w:rFonts w:hint="eastAsia" w:ascii="宋体" w:hAnsi="宋体" w:eastAsia="宋体" w:cs="Times New Roman"/>
          <w:b/>
          <w:color w:val="auto"/>
          <w:sz w:val="30"/>
          <w:szCs w:val="30"/>
          <w:lang w:val="en-US" w:eastAsia="zh-CN"/>
        </w:rPr>
        <w:t>1.</w:t>
      </w:r>
      <w:r>
        <w:rPr>
          <w:rFonts w:hint="eastAsia" w:ascii="宋体" w:hAnsi="宋体" w:eastAsia="宋体" w:cs="Times New Roman"/>
          <w:b/>
          <w:color w:val="auto"/>
          <w:sz w:val="30"/>
          <w:szCs w:val="30"/>
        </w:rPr>
        <w:t xml:space="preserve">投价报价一览表  </w:t>
      </w:r>
      <w:r>
        <w:rPr>
          <w:rFonts w:hint="eastAsia" w:ascii="宋体" w:hAnsi="宋体"/>
          <w:color w:val="auto"/>
          <w:kern w:val="0"/>
          <w:szCs w:val="21"/>
        </w:rPr>
        <w:t xml:space="preserve">                       </w:t>
      </w:r>
    </w:p>
    <w:p w14:paraId="7559EE54">
      <w:pPr>
        <w:spacing w:before="312" w:beforeLines="100" w:line="360" w:lineRule="auto"/>
        <w:ind w:left="480" w:right="-153" w:rightChars="-73" w:hanging="480" w:hangingChars="200"/>
        <w:jc w:val="left"/>
        <w:rPr>
          <w:rFonts w:hint="eastAsia" w:ascii="宋体" w:hAnsi="宋体"/>
          <w:color w:val="auto"/>
          <w:sz w:val="24"/>
          <w:u w:val="single"/>
        </w:rPr>
      </w:pPr>
      <w:r>
        <w:rPr>
          <w:rFonts w:hint="eastAsia" w:ascii="宋体" w:hAnsi="宋体"/>
          <w:color w:val="auto"/>
          <w:sz w:val="24"/>
        </w:rPr>
        <w:t>项目名称：</w:t>
      </w:r>
    </w:p>
    <w:tbl>
      <w:tblPr>
        <w:tblStyle w:val="22"/>
        <w:tblW w:w="9275" w:type="dxa"/>
        <w:jc w:val="center"/>
        <w:tblLayout w:type="fixed"/>
        <w:tblCellMar>
          <w:top w:w="0" w:type="dxa"/>
          <w:left w:w="108" w:type="dxa"/>
          <w:bottom w:w="0" w:type="dxa"/>
          <w:right w:w="108" w:type="dxa"/>
        </w:tblCellMar>
      </w:tblPr>
      <w:tblGrid>
        <w:gridCol w:w="791"/>
        <w:gridCol w:w="2989"/>
        <w:gridCol w:w="2293"/>
        <w:gridCol w:w="3202"/>
      </w:tblGrid>
      <w:tr w14:paraId="0C1C9F05">
        <w:tblPrEx>
          <w:tblCellMar>
            <w:top w:w="0" w:type="dxa"/>
            <w:left w:w="108" w:type="dxa"/>
            <w:bottom w:w="0" w:type="dxa"/>
            <w:right w:w="108" w:type="dxa"/>
          </w:tblCellMar>
        </w:tblPrEx>
        <w:trPr>
          <w:trHeight w:val="599" w:hRule="atLeast"/>
          <w:jc w:val="center"/>
        </w:trPr>
        <w:tc>
          <w:tcPr>
            <w:tcW w:w="791" w:type="dxa"/>
            <w:vMerge w:val="restart"/>
            <w:tcBorders>
              <w:top w:val="single" w:color="auto" w:sz="4" w:space="0"/>
              <w:left w:val="single" w:color="auto" w:sz="4" w:space="0"/>
              <w:bottom w:val="single" w:color="auto" w:sz="4" w:space="0"/>
              <w:right w:val="single" w:color="auto" w:sz="4" w:space="0"/>
            </w:tcBorders>
            <w:noWrap w:val="0"/>
            <w:vAlign w:val="center"/>
          </w:tcPr>
          <w:p w14:paraId="360293CE">
            <w:pPr>
              <w:jc w:val="center"/>
              <w:rPr>
                <w:rFonts w:ascii="宋体" w:hAnsi="宋体" w:cs="宋体"/>
                <w:color w:val="auto"/>
                <w:sz w:val="24"/>
              </w:rPr>
            </w:pPr>
            <w:r>
              <w:rPr>
                <w:rFonts w:hint="eastAsia" w:ascii="宋体" w:hAnsi="宋体" w:cs="宋体"/>
                <w:color w:val="auto"/>
                <w:sz w:val="24"/>
              </w:rPr>
              <w:t>序号</w:t>
            </w:r>
          </w:p>
        </w:tc>
        <w:tc>
          <w:tcPr>
            <w:tcW w:w="2989" w:type="dxa"/>
            <w:vMerge w:val="restart"/>
            <w:tcBorders>
              <w:top w:val="single" w:color="auto" w:sz="4" w:space="0"/>
              <w:left w:val="single" w:color="auto" w:sz="4" w:space="0"/>
              <w:bottom w:val="single" w:color="auto" w:sz="4" w:space="0"/>
              <w:right w:val="single" w:color="auto" w:sz="4" w:space="0"/>
            </w:tcBorders>
            <w:noWrap w:val="0"/>
            <w:vAlign w:val="center"/>
          </w:tcPr>
          <w:p w14:paraId="13E184AB">
            <w:pPr>
              <w:jc w:val="center"/>
              <w:rPr>
                <w:rFonts w:ascii="宋体" w:hAnsi="宋体" w:cs="宋体"/>
                <w:color w:val="auto"/>
                <w:sz w:val="24"/>
              </w:rPr>
            </w:pPr>
            <w:r>
              <w:rPr>
                <w:rFonts w:hint="eastAsia" w:ascii="宋体" w:hAnsi="宋体" w:cs="宋体"/>
                <w:color w:val="auto"/>
                <w:sz w:val="24"/>
              </w:rPr>
              <w:t>项        目</w:t>
            </w:r>
          </w:p>
        </w:tc>
        <w:tc>
          <w:tcPr>
            <w:tcW w:w="5495" w:type="dxa"/>
            <w:gridSpan w:val="2"/>
            <w:tcBorders>
              <w:top w:val="single" w:color="auto" w:sz="4" w:space="0"/>
              <w:left w:val="nil"/>
              <w:bottom w:val="single" w:color="auto" w:sz="4" w:space="0"/>
              <w:right w:val="single" w:color="auto" w:sz="4" w:space="0"/>
            </w:tcBorders>
            <w:noWrap w:val="0"/>
            <w:vAlign w:val="center"/>
          </w:tcPr>
          <w:p w14:paraId="2B25531A">
            <w:pPr>
              <w:jc w:val="center"/>
              <w:rPr>
                <w:rFonts w:ascii="宋体" w:hAnsi="宋体" w:cs="宋体"/>
                <w:color w:val="auto"/>
                <w:sz w:val="24"/>
              </w:rPr>
            </w:pPr>
            <w:r>
              <w:rPr>
                <w:rFonts w:hint="eastAsia" w:ascii="宋体" w:hAnsi="宋体" w:cs="宋体"/>
                <w:color w:val="auto"/>
                <w:sz w:val="24"/>
              </w:rPr>
              <w:t>金         额</w:t>
            </w:r>
          </w:p>
        </w:tc>
      </w:tr>
      <w:tr w14:paraId="1C49F4B2">
        <w:tblPrEx>
          <w:tblCellMar>
            <w:top w:w="0" w:type="dxa"/>
            <w:left w:w="108" w:type="dxa"/>
            <w:bottom w:w="0" w:type="dxa"/>
            <w:right w:w="108" w:type="dxa"/>
          </w:tblCellMar>
        </w:tblPrEx>
        <w:trPr>
          <w:trHeight w:val="661" w:hRule="atLeast"/>
          <w:jc w:val="center"/>
        </w:trPr>
        <w:tc>
          <w:tcPr>
            <w:tcW w:w="791" w:type="dxa"/>
            <w:vMerge w:val="continue"/>
            <w:tcBorders>
              <w:top w:val="single" w:color="auto" w:sz="4" w:space="0"/>
              <w:left w:val="single" w:color="auto" w:sz="4" w:space="0"/>
              <w:bottom w:val="single" w:color="auto" w:sz="4" w:space="0"/>
              <w:right w:val="single" w:color="auto" w:sz="4" w:space="0"/>
            </w:tcBorders>
            <w:noWrap w:val="0"/>
            <w:vAlign w:val="center"/>
          </w:tcPr>
          <w:p w14:paraId="047BF6F9">
            <w:pPr>
              <w:rPr>
                <w:rFonts w:ascii="宋体" w:hAnsi="宋体" w:cs="宋体"/>
                <w:color w:val="auto"/>
                <w:sz w:val="24"/>
              </w:rPr>
            </w:pPr>
          </w:p>
        </w:tc>
        <w:tc>
          <w:tcPr>
            <w:tcW w:w="2989" w:type="dxa"/>
            <w:vMerge w:val="continue"/>
            <w:tcBorders>
              <w:top w:val="single" w:color="auto" w:sz="4" w:space="0"/>
              <w:left w:val="single" w:color="auto" w:sz="4" w:space="0"/>
              <w:bottom w:val="single" w:color="auto" w:sz="4" w:space="0"/>
              <w:right w:val="single" w:color="auto" w:sz="4" w:space="0"/>
            </w:tcBorders>
            <w:noWrap w:val="0"/>
            <w:vAlign w:val="center"/>
          </w:tcPr>
          <w:p w14:paraId="35A88108">
            <w:pPr>
              <w:rPr>
                <w:rFonts w:ascii="宋体" w:hAnsi="宋体" w:cs="宋体"/>
                <w:color w:val="auto"/>
                <w:sz w:val="24"/>
              </w:rPr>
            </w:pPr>
          </w:p>
        </w:tc>
        <w:tc>
          <w:tcPr>
            <w:tcW w:w="2293" w:type="dxa"/>
            <w:tcBorders>
              <w:top w:val="nil"/>
              <w:left w:val="nil"/>
              <w:bottom w:val="single" w:color="auto" w:sz="4" w:space="0"/>
              <w:right w:val="single" w:color="auto" w:sz="4" w:space="0"/>
            </w:tcBorders>
            <w:noWrap w:val="0"/>
            <w:vAlign w:val="center"/>
          </w:tcPr>
          <w:p w14:paraId="7E6F9A34">
            <w:pPr>
              <w:jc w:val="center"/>
              <w:rPr>
                <w:rFonts w:ascii="宋体" w:hAnsi="宋体" w:cs="宋体"/>
                <w:color w:val="auto"/>
                <w:sz w:val="24"/>
              </w:rPr>
            </w:pPr>
            <w:r>
              <w:rPr>
                <w:rFonts w:hint="eastAsia" w:ascii="宋体" w:hAnsi="宋体" w:cs="宋体"/>
                <w:color w:val="auto"/>
                <w:sz w:val="24"/>
              </w:rPr>
              <w:t>小写</w:t>
            </w:r>
          </w:p>
        </w:tc>
        <w:tc>
          <w:tcPr>
            <w:tcW w:w="3202" w:type="dxa"/>
            <w:tcBorders>
              <w:top w:val="nil"/>
              <w:left w:val="nil"/>
              <w:bottom w:val="single" w:color="auto" w:sz="4" w:space="0"/>
              <w:right w:val="single" w:color="auto" w:sz="4" w:space="0"/>
            </w:tcBorders>
            <w:noWrap w:val="0"/>
            <w:vAlign w:val="center"/>
          </w:tcPr>
          <w:p w14:paraId="4E390755">
            <w:pPr>
              <w:jc w:val="center"/>
              <w:rPr>
                <w:rFonts w:ascii="宋体" w:hAnsi="宋体" w:cs="宋体"/>
                <w:color w:val="auto"/>
                <w:sz w:val="24"/>
              </w:rPr>
            </w:pPr>
            <w:r>
              <w:rPr>
                <w:rFonts w:hint="eastAsia" w:ascii="宋体" w:hAnsi="宋体" w:cs="宋体"/>
                <w:color w:val="auto"/>
                <w:sz w:val="24"/>
              </w:rPr>
              <w:t>大写</w:t>
            </w:r>
          </w:p>
        </w:tc>
      </w:tr>
      <w:tr w14:paraId="2F63FDDD">
        <w:tblPrEx>
          <w:tblCellMar>
            <w:top w:w="0" w:type="dxa"/>
            <w:left w:w="108" w:type="dxa"/>
            <w:bottom w:w="0" w:type="dxa"/>
            <w:right w:w="108" w:type="dxa"/>
          </w:tblCellMar>
        </w:tblPrEx>
        <w:trPr>
          <w:trHeight w:val="808" w:hRule="atLeast"/>
          <w:jc w:val="center"/>
        </w:trPr>
        <w:tc>
          <w:tcPr>
            <w:tcW w:w="791" w:type="dxa"/>
            <w:tcBorders>
              <w:top w:val="nil"/>
              <w:left w:val="single" w:color="auto" w:sz="4" w:space="0"/>
              <w:bottom w:val="single" w:color="auto" w:sz="4" w:space="0"/>
              <w:right w:val="single" w:color="auto" w:sz="4" w:space="0"/>
            </w:tcBorders>
            <w:noWrap w:val="0"/>
            <w:vAlign w:val="center"/>
          </w:tcPr>
          <w:p w14:paraId="2A01CF58">
            <w:pPr>
              <w:jc w:val="center"/>
              <w:rPr>
                <w:rFonts w:ascii="宋体" w:hAnsi="宋体" w:cs="宋体"/>
                <w:color w:val="auto"/>
                <w:sz w:val="24"/>
              </w:rPr>
            </w:pPr>
            <w:r>
              <w:rPr>
                <w:rFonts w:hint="eastAsia" w:ascii="宋体" w:hAnsi="宋体" w:cs="宋体"/>
                <w:color w:val="auto"/>
                <w:sz w:val="24"/>
              </w:rPr>
              <w:t>1</w:t>
            </w:r>
          </w:p>
        </w:tc>
        <w:tc>
          <w:tcPr>
            <w:tcW w:w="2989" w:type="dxa"/>
            <w:tcBorders>
              <w:top w:val="nil"/>
              <w:left w:val="nil"/>
              <w:bottom w:val="single" w:color="auto" w:sz="4" w:space="0"/>
              <w:right w:val="single" w:color="auto" w:sz="4" w:space="0"/>
            </w:tcBorders>
            <w:noWrap w:val="0"/>
            <w:vAlign w:val="center"/>
          </w:tcPr>
          <w:p w14:paraId="4F4A7E97">
            <w:pPr>
              <w:jc w:val="center"/>
              <w:rPr>
                <w:rFonts w:ascii="宋体" w:hAnsi="宋体" w:cs="宋体"/>
                <w:color w:val="auto"/>
                <w:sz w:val="24"/>
              </w:rPr>
            </w:pPr>
            <w:r>
              <w:rPr>
                <w:rFonts w:hint="eastAsia" w:ascii="宋体" w:hAnsi="宋体" w:cs="宋体"/>
                <w:color w:val="auto"/>
                <w:sz w:val="24"/>
              </w:rPr>
              <w:t>投标总价</w:t>
            </w:r>
          </w:p>
        </w:tc>
        <w:tc>
          <w:tcPr>
            <w:tcW w:w="2293" w:type="dxa"/>
            <w:tcBorders>
              <w:top w:val="nil"/>
              <w:left w:val="nil"/>
              <w:bottom w:val="single" w:color="auto" w:sz="4" w:space="0"/>
              <w:right w:val="single" w:color="auto" w:sz="4" w:space="0"/>
            </w:tcBorders>
            <w:noWrap w:val="0"/>
            <w:vAlign w:val="center"/>
          </w:tcPr>
          <w:p w14:paraId="0766AFC6">
            <w:pPr>
              <w:rPr>
                <w:rFonts w:ascii="宋体" w:hAnsi="宋体" w:cs="宋体"/>
                <w:color w:val="auto"/>
                <w:sz w:val="24"/>
              </w:rPr>
            </w:pPr>
          </w:p>
        </w:tc>
        <w:tc>
          <w:tcPr>
            <w:tcW w:w="3202" w:type="dxa"/>
            <w:tcBorders>
              <w:top w:val="nil"/>
              <w:left w:val="nil"/>
              <w:bottom w:val="single" w:color="auto" w:sz="4" w:space="0"/>
              <w:right w:val="single" w:color="auto" w:sz="4" w:space="0"/>
            </w:tcBorders>
            <w:noWrap w:val="0"/>
            <w:vAlign w:val="center"/>
          </w:tcPr>
          <w:p w14:paraId="34D973C5">
            <w:pPr>
              <w:rPr>
                <w:rFonts w:ascii="宋体" w:hAnsi="宋体" w:cs="宋体"/>
                <w:color w:val="auto"/>
                <w:sz w:val="24"/>
              </w:rPr>
            </w:pPr>
          </w:p>
        </w:tc>
      </w:tr>
      <w:tr w14:paraId="39E0D130">
        <w:tblPrEx>
          <w:tblCellMar>
            <w:top w:w="0" w:type="dxa"/>
            <w:left w:w="108" w:type="dxa"/>
            <w:bottom w:w="0" w:type="dxa"/>
            <w:right w:w="108" w:type="dxa"/>
          </w:tblCellMar>
        </w:tblPrEx>
        <w:trPr>
          <w:trHeight w:val="752" w:hRule="atLeast"/>
          <w:jc w:val="center"/>
        </w:trPr>
        <w:tc>
          <w:tcPr>
            <w:tcW w:w="791" w:type="dxa"/>
            <w:tcBorders>
              <w:top w:val="nil"/>
              <w:left w:val="single" w:color="auto" w:sz="4" w:space="0"/>
              <w:bottom w:val="single" w:color="auto" w:sz="4" w:space="0"/>
              <w:right w:val="single" w:color="auto" w:sz="4" w:space="0"/>
            </w:tcBorders>
            <w:noWrap w:val="0"/>
            <w:vAlign w:val="center"/>
          </w:tcPr>
          <w:p w14:paraId="0657A2C9">
            <w:pPr>
              <w:jc w:val="center"/>
              <w:rPr>
                <w:rFonts w:ascii="宋体" w:hAnsi="宋体" w:cs="宋体"/>
                <w:color w:val="auto"/>
                <w:sz w:val="24"/>
              </w:rPr>
            </w:pPr>
            <w:r>
              <w:rPr>
                <w:rFonts w:hint="eastAsia" w:ascii="宋体" w:hAnsi="宋体" w:cs="宋体"/>
                <w:color w:val="auto"/>
                <w:sz w:val="24"/>
              </w:rPr>
              <w:t>2</w:t>
            </w:r>
          </w:p>
        </w:tc>
        <w:tc>
          <w:tcPr>
            <w:tcW w:w="2989" w:type="dxa"/>
            <w:tcBorders>
              <w:top w:val="nil"/>
              <w:left w:val="nil"/>
              <w:bottom w:val="single" w:color="auto" w:sz="4" w:space="0"/>
              <w:right w:val="single" w:color="auto" w:sz="4" w:space="0"/>
            </w:tcBorders>
            <w:noWrap w:val="0"/>
            <w:vAlign w:val="center"/>
          </w:tcPr>
          <w:p w14:paraId="79480443">
            <w:pPr>
              <w:jc w:val="center"/>
              <w:rPr>
                <w:rFonts w:hint="eastAsia" w:ascii="宋体" w:hAnsi="宋体" w:cs="宋体"/>
                <w:color w:val="auto"/>
                <w:sz w:val="24"/>
              </w:rPr>
            </w:pPr>
            <w:r>
              <w:rPr>
                <w:rFonts w:hint="eastAsia" w:ascii="宋体" w:hAnsi="宋体" w:eastAsia="宋体" w:cs="宋体"/>
                <w:color w:val="auto"/>
                <w:sz w:val="24"/>
              </w:rPr>
              <w:t>供货时间</w:t>
            </w:r>
          </w:p>
        </w:tc>
        <w:tc>
          <w:tcPr>
            <w:tcW w:w="5495" w:type="dxa"/>
            <w:gridSpan w:val="2"/>
            <w:tcBorders>
              <w:top w:val="single" w:color="auto" w:sz="4" w:space="0"/>
              <w:left w:val="nil"/>
              <w:bottom w:val="single" w:color="auto" w:sz="4" w:space="0"/>
              <w:right w:val="single" w:color="000000" w:sz="4" w:space="0"/>
            </w:tcBorders>
            <w:noWrap w:val="0"/>
            <w:vAlign w:val="center"/>
          </w:tcPr>
          <w:p w14:paraId="5C2A51C1">
            <w:pPr>
              <w:jc w:val="left"/>
              <w:rPr>
                <w:rFonts w:ascii="宋体" w:hAnsi="宋体" w:cs="宋体"/>
                <w:color w:val="auto"/>
                <w:sz w:val="24"/>
              </w:rPr>
            </w:pPr>
          </w:p>
        </w:tc>
      </w:tr>
      <w:tr w14:paraId="194360E4">
        <w:tblPrEx>
          <w:tblCellMar>
            <w:top w:w="0" w:type="dxa"/>
            <w:left w:w="108" w:type="dxa"/>
            <w:bottom w:w="0" w:type="dxa"/>
            <w:right w:w="108" w:type="dxa"/>
          </w:tblCellMar>
        </w:tblPrEx>
        <w:trPr>
          <w:trHeight w:val="752" w:hRule="atLeast"/>
          <w:jc w:val="center"/>
        </w:trPr>
        <w:tc>
          <w:tcPr>
            <w:tcW w:w="791" w:type="dxa"/>
            <w:tcBorders>
              <w:top w:val="nil"/>
              <w:left w:val="single" w:color="auto" w:sz="4" w:space="0"/>
              <w:bottom w:val="single" w:color="auto" w:sz="4" w:space="0"/>
              <w:right w:val="single" w:color="auto" w:sz="4" w:space="0"/>
            </w:tcBorders>
            <w:noWrap w:val="0"/>
            <w:vAlign w:val="center"/>
          </w:tcPr>
          <w:p w14:paraId="2BCD5DA9">
            <w:pPr>
              <w:jc w:val="center"/>
              <w:rPr>
                <w:rFonts w:hint="eastAsia" w:ascii="宋体" w:hAnsi="宋体" w:cs="宋体"/>
                <w:color w:val="auto"/>
                <w:sz w:val="24"/>
              </w:rPr>
            </w:pPr>
            <w:r>
              <w:rPr>
                <w:rFonts w:hint="eastAsia" w:ascii="宋体" w:hAnsi="宋体" w:cs="宋体"/>
                <w:color w:val="auto"/>
                <w:sz w:val="24"/>
              </w:rPr>
              <w:t>3</w:t>
            </w:r>
          </w:p>
        </w:tc>
        <w:tc>
          <w:tcPr>
            <w:tcW w:w="2989" w:type="dxa"/>
            <w:tcBorders>
              <w:top w:val="nil"/>
              <w:left w:val="nil"/>
              <w:bottom w:val="single" w:color="auto" w:sz="4" w:space="0"/>
              <w:right w:val="single" w:color="auto" w:sz="4" w:space="0"/>
            </w:tcBorders>
            <w:noWrap w:val="0"/>
            <w:vAlign w:val="center"/>
          </w:tcPr>
          <w:p w14:paraId="299B77BC">
            <w:pPr>
              <w:jc w:val="center"/>
              <w:rPr>
                <w:rFonts w:hint="eastAsia" w:ascii="宋体" w:hAnsi="宋体" w:cs="宋体"/>
                <w:color w:val="auto"/>
                <w:sz w:val="24"/>
              </w:rPr>
            </w:pPr>
            <w:r>
              <w:rPr>
                <w:rFonts w:hint="eastAsia" w:ascii="宋体" w:hAnsi="宋体" w:cs="宋体"/>
                <w:color w:val="auto"/>
                <w:sz w:val="24"/>
              </w:rPr>
              <w:t>质量要求</w:t>
            </w:r>
          </w:p>
        </w:tc>
        <w:tc>
          <w:tcPr>
            <w:tcW w:w="5495" w:type="dxa"/>
            <w:gridSpan w:val="2"/>
            <w:tcBorders>
              <w:top w:val="single" w:color="auto" w:sz="4" w:space="0"/>
              <w:left w:val="nil"/>
              <w:bottom w:val="single" w:color="auto" w:sz="4" w:space="0"/>
              <w:right w:val="single" w:color="000000" w:sz="4" w:space="0"/>
            </w:tcBorders>
            <w:noWrap w:val="0"/>
            <w:vAlign w:val="center"/>
          </w:tcPr>
          <w:p w14:paraId="00C6EA5B">
            <w:pPr>
              <w:jc w:val="left"/>
              <w:rPr>
                <w:rFonts w:ascii="宋体" w:hAnsi="宋体" w:cs="宋体"/>
                <w:color w:val="auto"/>
                <w:sz w:val="24"/>
              </w:rPr>
            </w:pPr>
          </w:p>
        </w:tc>
      </w:tr>
      <w:tr w14:paraId="1801EEA6">
        <w:tblPrEx>
          <w:tblCellMar>
            <w:top w:w="0" w:type="dxa"/>
            <w:left w:w="108" w:type="dxa"/>
            <w:bottom w:w="0" w:type="dxa"/>
            <w:right w:w="108" w:type="dxa"/>
          </w:tblCellMar>
        </w:tblPrEx>
        <w:trPr>
          <w:trHeight w:val="768"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4448EED5">
            <w:pPr>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2989" w:type="dxa"/>
            <w:tcBorders>
              <w:top w:val="single" w:color="auto" w:sz="4" w:space="0"/>
              <w:left w:val="nil"/>
              <w:bottom w:val="single" w:color="auto" w:sz="4" w:space="0"/>
              <w:right w:val="single" w:color="auto" w:sz="4" w:space="0"/>
            </w:tcBorders>
            <w:noWrap w:val="0"/>
            <w:vAlign w:val="center"/>
          </w:tcPr>
          <w:p w14:paraId="7E81383E">
            <w:pPr>
              <w:jc w:val="center"/>
              <w:rPr>
                <w:rFonts w:ascii="宋体" w:hAnsi="宋体" w:cs="宋体"/>
                <w:color w:val="auto"/>
                <w:sz w:val="24"/>
              </w:rPr>
            </w:pPr>
            <w:r>
              <w:rPr>
                <w:rFonts w:hint="eastAsia" w:ascii="宋体" w:hAnsi="宋体" w:cs="宋体"/>
                <w:color w:val="auto"/>
                <w:sz w:val="24"/>
              </w:rPr>
              <w:t>说明</w:t>
            </w:r>
          </w:p>
        </w:tc>
        <w:tc>
          <w:tcPr>
            <w:tcW w:w="5495" w:type="dxa"/>
            <w:gridSpan w:val="2"/>
            <w:tcBorders>
              <w:top w:val="single" w:color="auto" w:sz="4" w:space="0"/>
              <w:left w:val="nil"/>
              <w:bottom w:val="single" w:color="auto" w:sz="4" w:space="0"/>
              <w:right w:val="single" w:color="000000" w:sz="4" w:space="0"/>
            </w:tcBorders>
            <w:noWrap w:val="0"/>
            <w:vAlign w:val="center"/>
          </w:tcPr>
          <w:p w14:paraId="6647ADEB">
            <w:pPr>
              <w:jc w:val="left"/>
              <w:rPr>
                <w:rFonts w:ascii="宋体" w:hAnsi="宋体" w:cs="宋体"/>
                <w:color w:val="auto"/>
                <w:sz w:val="24"/>
              </w:rPr>
            </w:pPr>
          </w:p>
        </w:tc>
      </w:tr>
      <w:tr w14:paraId="22A7AE1B">
        <w:tblPrEx>
          <w:tblCellMar>
            <w:top w:w="0" w:type="dxa"/>
            <w:left w:w="108" w:type="dxa"/>
            <w:bottom w:w="0" w:type="dxa"/>
            <w:right w:w="108" w:type="dxa"/>
          </w:tblCellMar>
        </w:tblPrEx>
        <w:trPr>
          <w:trHeight w:val="1992" w:hRule="atLeast"/>
          <w:jc w:val="center"/>
        </w:trPr>
        <w:tc>
          <w:tcPr>
            <w:tcW w:w="9275" w:type="dxa"/>
            <w:gridSpan w:val="4"/>
            <w:tcBorders>
              <w:top w:val="single" w:color="auto" w:sz="4" w:space="0"/>
              <w:left w:val="single" w:color="auto" w:sz="4" w:space="0"/>
              <w:bottom w:val="single" w:color="auto" w:sz="4" w:space="0"/>
              <w:right w:val="single" w:color="000000" w:sz="4" w:space="0"/>
            </w:tcBorders>
            <w:noWrap w:val="0"/>
            <w:vAlign w:val="center"/>
          </w:tcPr>
          <w:p w14:paraId="35B30622">
            <w:pPr>
              <w:spacing w:line="600" w:lineRule="exact"/>
              <w:ind w:firstLine="2" w:firstLineChars="1"/>
              <w:rPr>
                <w:rFonts w:ascii="宋体" w:hAnsi="宋体" w:cs="宋体"/>
                <w:color w:val="auto"/>
                <w:sz w:val="24"/>
              </w:rPr>
            </w:pPr>
            <w:r>
              <w:rPr>
                <w:rFonts w:hint="eastAsia" w:ascii="宋体" w:hAnsi="宋体" w:cs="宋体"/>
                <w:color w:val="auto"/>
                <w:sz w:val="24"/>
              </w:rPr>
              <w:t>供应商：</w:t>
            </w:r>
            <w:r>
              <w:rPr>
                <w:rFonts w:hint="eastAsia" w:ascii="宋体" w:hAnsi="宋体" w:cs="宋体"/>
                <w:color w:val="auto"/>
                <w:sz w:val="24"/>
                <w:u w:val="single"/>
              </w:rPr>
              <w:t xml:space="preserve">                                 </w:t>
            </w:r>
            <w:r>
              <w:rPr>
                <w:rFonts w:hint="eastAsia" w:ascii="宋体" w:hAnsi="宋体" w:cs="宋体"/>
                <w:color w:val="auto"/>
                <w:sz w:val="24"/>
              </w:rPr>
              <w:t>（加盖电子公章）</w:t>
            </w:r>
          </w:p>
          <w:p w14:paraId="7CB72421">
            <w:pPr>
              <w:spacing w:line="600" w:lineRule="exact"/>
              <w:ind w:firstLine="2" w:firstLineChars="1"/>
              <w:rPr>
                <w:rFonts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kern w:val="0"/>
                <w:sz w:val="24"/>
              </w:rPr>
              <w:t>电子签名/签章</w:t>
            </w:r>
            <w:r>
              <w:rPr>
                <w:rFonts w:hint="eastAsia" w:ascii="宋体" w:hAnsi="宋体" w:cs="宋体"/>
                <w:color w:val="auto"/>
                <w:sz w:val="24"/>
              </w:rPr>
              <w:t>）</w:t>
            </w:r>
          </w:p>
          <w:p w14:paraId="0AB605A7">
            <w:pPr>
              <w:jc w:val="left"/>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tc>
      </w:tr>
    </w:tbl>
    <w:p w14:paraId="0D610FFC">
      <w:pPr>
        <w:pStyle w:val="36"/>
        <w:rPr>
          <w:rFonts w:hint="eastAsia"/>
          <w:color w:val="auto"/>
          <w:lang w:val="en-US" w:eastAsia="zh-CN"/>
        </w:rPr>
      </w:pPr>
    </w:p>
    <w:p w14:paraId="1155825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color w:val="auto"/>
          <w:sz w:val="30"/>
          <w:szCs w:val="30"/>
        </w:rPr>
      </w:pPr>
      <w:r>
        <w:rPr>
          <w:rFonts w:hint="eastAsia" w:ascii="宋体" w:hAnsi="宋体"/>
          <w:b/>
          <w:bCs w:val="0"/>
          <w:color w:val="auto"/>
          <w:sz w:val="24"/>
        </w:rPr>
        <w:t>注：1、报价的计算应包括供应商成交后为完成合同规定的全部任务需支付的一切费用和拟获得的利润，并考虑应承担的风险。</w:t>
      </w:r>
    </w:p>
    <w:p w14:paraId="6DF8633B">
      <w:pPr>
        <w:spacing w:line="360" w:lineRule="auto"/>
        <w:jc w:val="center"/>
        <w:rPr>
          <w:rFonts w:hint="eastAsia" w:ascii="宋体" w:hAnsi="宋体"/>
          <w:b/>
          <w:color w:val="auto"/>
          <w:sz w:val="30"/>
          <w:szCs w:val="30"/>
          <w:lang w:val="en-US" w:eastAsia="zh-CN"/>
        </w:rPr>
      </w:pPr>
    </w:p>
    <w:p w14:paraId="5D790940">
      <w:pPr>
        <w:spacing w:line="360" w:lineRule="auto"/>
        <w:jc w:val="center"/>
        <w:rPr>
          <w:rFonts w:hint="eastAsia" w:ascii="宋体" w:hAnsi="宋体"/>
          <w:b/>
          <w:color w:val="auto"/>
          <w:sz w:val="30"/>
          <w:szCs w:val="30"/>
          <w:lang w:val="en-US" w:eastAsia="zh-CN"/>
        </w:rPr>
      </w:pPr>
    </w:p>
    <w:p w14:paraId="5D82A909">
      <w:pPr>
        <w:spacing w:line="360" w:lineRule="auto"/>
        <w:jc w:val="center"/>
        <w:rPr>
          <w:rFonts w:hint="eastAsia" w:ascii="宋体" w:hAnsi="宋体"/>
          <w:b/>
          <w:color w:val="auto"/>
          <w:sz w:val="30"/>
          <w:szCs w:val="30"/>
          <w:lang w:val="en-US" w:eastAsia="zh-CN"/>
        </w:rPr>
      </w:pPr>
    </w:p>
    <w:p w14:paraId="1F947D82">
      <w:pPr>
        <w:spacing w:line="360" w:lineRule="auto"/>
        <w:jc w:val="center"/>
        <w:rPr>
          <w:rFonts w:hint="eastAsia" w:ascii="宋体" w:hAnsi="宋体"/>
          <w:b/>
          <w:color w:val="auto"/>
          <w:sz w:val="30"/>
          <w:szCs w:val="30"/>
          <w:lang w:val="en-US" w:eastAsia="zh-CN"/>
        </w:rPr>
      </w:pPr>
    </w:p>
    <w:p w14:paraId="657F51FE">
      <w:pPr>
        <w:spacing w:line="360" w:lineRule="auto"/>
        <w:jc w:val="center"/>
        <w:rPr>
          <w:rFonts w:hint="eastAsia" w:ascii="宋体" w:hAnsi="宋体"/>
          <w:b/>
          <w:color w:val="auto"/>
          <w:sz w:val="30"/>
          <w:szCs w:val="30"/>
          <w:lang w:val="en-US" w:eastAsia="zh-CN"/>
        </w:rPr>
      </w:pPr>
    </w:p>
    <w:p w14:paraId="71C7984D">
      <w:pPr>
        <w:spacing w:line="360" w:lineRule="auto"/>
        <w:jc w:val="center"/>
        <w:rPr>
          <w:rFonts w:hint="eastAsia" w:ascii="宋体" w:hAnsi="宋体"/>
          <w:b/>
          <w:color w:val="auto"/>
          <w:sz w:val="30"/>
          <w:szCs w:val="30"/>
          <w:lang w:val="en-US" w:eastAsia="zh-CN"/>
        </w:rPr>
      </w:pPr>
    </w:p>
    <w:p w14:paraId="640675B4">
      <w:pPr>
        <w:spacing w:line="360" w:lineRule="auto"/>
        <w:jc w:val="center"/>
        <w:rPr>
          <w:rFonts w:hint="eastAsia" w:ascii="宋体" w:hAnsi="宋体"/>
          <w:b/>
          <w:color w:val="auto"/>
          <w:sz w:val="30"/>
          <w:szCs w:val="30"/>
        </w:rPr>
      </w:pPr>
      <w:r>
        <w:rPr>
          <w:rFonts w:hint="eastAsia" w:ascii="宋体" w:hAnsi="宋体"/>
          <w:b/>
          <w:color w:val="auto"/>
          <w:sz w:val="30"/>
          <w:szCs w:val="30"/>
          <w:lang w:val="en-US" w:eastAsia="zh-CN"/>
        </w:rPr>
        <w:t>2.</w:t>
      </w:r>
      <w:r>
        <w:rPr>
          <w:rFonts w:hint="eastAsia" w:ascii="宋体" w:hAnsi="宋体"/>
          <w:b/>
          <w:color w:val="auto"/>
          <w:sz w:val="30"/>
          <w:szCs w:val="30"/>
        </w:rPr>
        <w:t>投标产品分项报价一览表</w:t>
      </w:r>
    </w:p>
    <w:tbl>
      <w:tblPr>
        <w:tblStyle w:val="22"/>
        <w:tblW w:w="9733" w:type="dxa"/>
        <w:tblInd w:w="-7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0"/>
        <w:gridCol w:w="2051"/>
        <w:gridCol w:w="1545"/>
        <w:gridCol w:w="899"/>
        <w:gridCol w:w="868"/>
        <w:gridCol w:w="885"/>
        <w:gridCol w:w="840"/>
        <w:gridCol w:w="840"/>
        <w:gridCol w:w="995"/>
      </w:tblGrid>
      <w:tr w14:paraId="16DB7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962495D">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序号</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675ACD4A">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名称</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D2BF15B">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型号、参数</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1CF2260">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单位</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4780C6F0">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数量</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24ABBBB">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单价（元）</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1F4B702">
            <w:pPr>
              <w:spacing w:line="320" w:lineRule="exact"/>
              <w:jc w:val="center"/>
              <w:textAlignment w:val="baseline"/>
              <w:rPr>
                <w:rFonts w:hint="eastAsia" w:ascii="宋体" w:hAnsi="宋体" w:cs="宋体"/>
                <w:color w:val="auto"/>
                <w:sz w:val="24"/>
              </w:rPr>
            </w:pPr>
            <w:r>
              <w:rPr>
                <w:rStyle w:val="38"/>
                <w:rFonts w:hint="eastAsia" w:ascii="宋体" w:hAnsi="宋体" w:cs="宋体"/>
                <w:color w:val="auto"/>
                <w:sz w:val="24"/>
              </w:rPr>
              <w:t>合价（元）</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97A94D2">
            <w:pPr>
              <w:spacing w:line="320" w:lineRule="exact"/>
              <w:jc w:val="center"/>
              <w:textAlignment w:val="baseline"/>
              <w:rPr>
                <w:rFonts w:hint="eastAsia" w:ascii="宋体" w:hAnsi="宋体" w:cs="宋体"/>
                <w:color w:val="auto"/>
                <w:sz w:val="24"/>
              </w:rPr>
            </w:pPr>
            <w:r>
              <w:rPr>
                <w:rFonts w:hint="eastAsia" w:ascii="宋体" w:hAnsi="宋体" w:cs="宋体"/>
                <w:color w:val="auto"/>
                <w:sz w:val="24"/>
              </w:rPr>
              <w:t>品牌或厂家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67AFC83">
            <w:pPr>
              <w:spacing w:line="320" w:lineRule="exact"/>
              <w:jc w:val="center"/>
              <w:textAlignment w:val="baseline"/>
              <w:rPr>
                <w:rStyle w:val="38"/>
                <w:rFonts w:hint="eastAsia" w:ascii="宋体" w:hAnsi="宋体" w:cs="宋体"/>
                <w:color w:val="auto"/>
                <w:sz w:val="24"/>
              </w:rPr>
            </w:pPr>
            <w:r>
              <w:rPr>
                <w:rStyle w:val="38"/>
                <w:rFonts w:hint="eastAsia" w:ascii="宋体" w:hAnsi="宋体" w:cs="宋体"/>
                <w:color w:val="auto"/>
                <w:sz w:val="24"/>
              </w:rPr>
              <w:t>备注</w:t>
            </w:r>
          </w:p>
        </w:tc>
      </w:tr>
      <w:tr w14:paraId="54967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4A59A8B1">
            <w:pPr>
              <w:spacing w:line="320" w:lineRule="exact"/>
              <w:jc w:val="center"/>
              <w:textAlignment w:val="baseline"/>
              <w:rPr>
                <w:rStyle w:val="38"/>
                <w:rFonts w:hint="eastAsia" w:ascii="宋体" w:hAnsi="宋体" w:cs="宋体"/>
                <w:color w:val="auto"/>
                <w:sz w:val="24"/>
              </w:rPr>
            </w:pPr>
            <w:r>
              <w:rPr>
                <w:rStyle w:val="38"/>
                <w:rFonts w:hint="eastAsia" w:ascii="宋体" w:hAnsi="宋体" w:cs="宋体"/>
                <w:color w:val="auto"/>
                <w:sz w:val="24"/>
              </w:rPr>
              <w:t>1</w:t>
            </w:r>
          </w:p>
        </w:tc>
        <w:tc>
          <w:tcPr>
            <w:tcW w:w="2051" w:type="dxa"/>
            <w:tcBorders>
              <w:top w:val="single" w:color="000000" w:sz="4" w:space="0"/>
              <w:left w:val="single" w:color="000000" w:sz="4" w:space="0"/>
              <w:bottom w:val="single" w:color="000000" w:sz="4" w:space="0"/>
              <w:right w:val="single" w:color="000000" w:sz="4" w:space="0"/>
            </w:tcBorders>
            <w:noWrap w:val="0"/>
            <w:vAlign w:val="top"/>
          </w:tcPr>
          <w:p w14:paraId="4C112BAE">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虚拟仿真平台（配套课程资源）</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794E332">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A7D5A30">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套</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4E89CF42">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1</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F145BF6">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7F484ED">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AF7F728">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C5C529D">
            <w:pPr>
              <w:spacing w:line="320" w:lineRule="exact"/>
              <w:jc w:val="center"/>
              <w:textAlignment w:val="baseline"/>
              <w:rPr>
                <w:rStyle w:val="38"/>
                <w:rFonts w:hint="default" w:ascii="宋体" w:hAnsi="宋体" w:cs="宋体"/>
                <w:color w:val="auto"/>
                <w:sz w:val="24"/>
                <w:lang w:val="en-US"/>
              </w:rPr>
            </w:pPr>
            <w:r>
              <w:rPr>
                <w:rStyle w:val="38"/>
                <w:rFonts w:hint="eastAsia" w:ascii="宋体" w:hAnsi="宋体" w:cs="宋体"/>
                <w:color w:val="auto"/>
                <w:sz w:val="24"/>
                <w:lang w:val="en-US"/>
              </w:rPr>
              <w:t>核心产品</w:t>
            </w:r>
          </w:p>
        </w:tc>
      </w:tr>
      <w:tr w14:paraId="58322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ACD8978">
            <w:pPr>
              <w:spacing w:line="320" w:lineRule="exact"/>
              <w:jc w:val="center"/>
              <w:textAlignment w:val="baseline"/>
              <w:rPr>
                <w:rStyle w:val="38"/>
                <w:rFonts w:hint="default" w:ascii="宋体" w:hAnsi="宋体" w:cs="宋体"/>
                <w:color w:val="auto"/>
                <w:sz w:val="24"/>
                <w:lang w:val="en-US"/>
              </w:rPr>
            </w:pPr>
            <w:r>
              <w:rPr>
                <w:rStyle w:val="38"/>
                <w:rFonts w:hint="eastAsia" w:ascii="宋体" w:hAnsi="宋体" w:cs="宋体"/>
                <w:color w:val="auto"/>
                <w:sz w:val="24"/>
                <w:lang w:val="en-US"/>
              </w:rPr>
              <w:t>2</w:t>
            </w:r>
          </w:p>
        </w:tc>
        <w:tc>
          <w:tcPr>
            <w:tcW w:w="2051" w:type="dxa"/>
            <w:tcBorders>
              <w:top w:val="single" w:color="000000" w:sz="4" w:space="0"/>
              <w:left w:val="single" w:color="000000" w:sz="4" w:space="0"/>
              <w:bottom w:val="single" w:color="000000" w:sz="4" w:space="0"/>
              <w:right w:val="single" w:color="000000" w:sz="4" w:space="0"/>
            </w:tcBorders>
            <w:noWrap w:val="0"/>
            <w:vAlign w:val="top"/>
          </w:tcPr>
          <w:p w14:paraId="74064D63">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实训一体机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D3FCEE8">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E3D278E">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DFC88C6">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4</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906FA64">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5670A15">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8454D6D">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6524B3D">
            <w:pPr>
              <w:spacing w:line="320" w:lineRule="exact"/>
              <w:jc w:val="center"/>
              <w:textAlignment w:val="baseline"/>
              <w:rPr>
                <w:rStyle w:val="38"/>
                <w:rFonts w:hint="eastAsia" w:ascii="宋体" w:hAnsi="宋体" w:cs="宋体"/>
                <w:color w:val="auto"/>
                <w:sz w:val="24"/>
              </w:rPr>
            </w:pPr>
          </w:p>
        </w:tc>
      </w:tr>
      <w:tr w14:paraId="1A59C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CBE50BC">
            <w:pPr>
              <w:spacing w:line="320" w:lineRule="exact"/>
              <w:jc w:val="center"/>
              <w:textAlignment w:val="baseline"/>
              <w:rPr>
                <w:rStyle w:val="38"/>
                <w:rFonts w:hint="default" w:ascii="宋体" w:hAnsi="宋体" w:cs="宋体"/>
                <w:color w:val="auto"/>
                <w:sz w:val="24"/>
                <w:lang w:val="en-US"/>
              </w:rPr>
            </w:pPr>
            <w:r>
              <w:rPr>
                <w:rStyle w:val="38"/>
                <w:rFonts w:hint="eastAsia" w:ascii="宋体" w:hAnsi="宋体" w:cs="宋体"/>
                <w:color w:val="auto"/>
                <w:sz w:val="24"/>
                <w:lang w:val="en-US"/>
              </w:rPr>
              <w:t>3</w:t>
            </w:r>
          </w:p>
        </w:tc>
        <w:tc>
          <w:tcPr>
            <w:tcW w:w="2051" w:type="dxa"/>
            <w:tcBorders>
              <w:top w:val="single" w:color="000000" w:sz="4" w:space="0"/>
              <w:left w:val="single" w:color="000000" w:sz="4" w:space="0"/>
              <w:bottom w:val="single" w:color="000000" w:sz="4" w:space="0"/>
              <w:right w:val="single" w:color="000000" w:sz="4" w:space="0"/>
            </w:tcBorders>
            <w:noWrap w:val="0"/>
            <w:vAlign w:val="top"/>
          </w:tcPr>
          <w:p w14:paraId="5978AE02">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实训一体机交换机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6315BDF">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DEA91CD">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E61802D">
            <w:pPr>
              <w:spacing w:line="320" w:lineRule="exact"/>
              <w:jc w:val="center"/>
              <w:textAlignment w:val="baseline"/>
              <w:rPr>
                <w:rStyle w:val="38"/>
                <w:rFonts w:hint="eastAsia" w:ascii="宋体" w:hAnsi="宋体" w:eastAsia="宋体" w:cs="宋体"/>
                <w:color w:val="auto"/>
                <w:sz w:val="24"/>
              </w:rPr>
            </w:pPr>
            <w:r>
              <w:rPr>
                <w:rStyle w:val="38"/>
                <w:rFonts w:hint="eastAsia" w:ascii="宋体" w:hAnsi="宋体" w:eastAsia="宋体" w:cs="宋体"/>
                <w:color w:val="auto"/>
                <w:sz w:val="24"/>
              </w:rPr>
              <w:t>2</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5261F59">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6D76245">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936C9FE">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B00840A">
            <w:pPr>
              <w:spacing w:line="320" w:lineRule="exact"/>
              <w:jc w:val="center"/>
              <w:textAlignment w:val="baseline"/>
              <w:rPr>
                <w:rStyle w:val="38"/>
                <w:rFonts w:hint="eastAsia" w:ascii="宋体" w:hAnsi="宋体" w:cs="宋体"/>
                <w:color w:val="auto"/>
                <w:sz w:val="24"/>
              </w:rPr>
            </w:pPr>
          </w:p>
        </w:tc>
      </w:tr>
      <w:tr w14:paraId="20625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180F0B5">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7FE7E23E">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C69D920">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BD7993D">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B2F5216">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FF62E03">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010B77">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69B76DB">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3C4CD9B">
            <w:pPr>
              <w:spacing w:line="320" w:lineRule="exact"/>
              <w:jc w:val="center"/>
              <w:textAlignment w:val="baseline"/>
              <w:rPr>
                <w:rStyle w:val="38"/>
                <w:rFonts w:hint="eastAsia" w:ascii="宋体" w:hAnsi="宋体" w:cs="宋体"/>
                <w:color w:val="auto"/>
                <w:sz w:val="24"/>
              </w:rPr>
            </w:pPr>
          </w:p>
        </w:tc>
      </w:tr>
      <w:tr w14:paraId="6F44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00813C32">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51B04CD3">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5BB5893">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E09756B">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E394D5B">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B7FB670">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7AD1D14">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41CF7FE">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41BFA2E">
            <w:pPr>
              <w:spacing w:line="320" w:lineRule="exact"/>
              <w:jc w:val="center"/>
              <w:textAlignment w:val="baseline"/>
              <w:rPr>
                <w:rStyle w:val="38"/>
                <w:rFonts w:hint="eastAsia" w:ascii="宋体" w:hAnsi="宋体" w:cs="宋体"/>
                <w:color w:val="auto"/>
                <w:sz w:val="24"/>
              </w:rPr>
            </w:pPr>
          </w:p>
        </w:tc>
      </w:tr>
      <w:tr w14:paraId="4BA21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32CF0F47">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145032FC">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3F9AF38">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ECBC42E">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10E9E32">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F5FB2AD">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265F4AA">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3360E2D">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099A836">
            <w:pPr>
              <w:spacing w:line="320" w:lineRule="exact"/>
              <w:jc w:val="center"/>
              <w:textAlignment w:val="baseline"/>
              <w:rPr>
                <w:rStyle w:val="38"/>
                <w:rFonts w:hint="eastAsia" w:ascii="宋体" w:hAnsi="宋体" w:cs="宋体"/>
                <w:color w:val="auto"/>
                <w:sz w:val="24"/>
              </w:rPr>
            </w:pPr>
          </w:p>
        </w:tc>
      </w:tr>
      <w:tr w14:paraId="09216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1F5D6199">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47730735">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DFDEE81">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2DB2209">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B207FA8">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3AD55C1">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80522C4">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03ECA3B">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D7F8E0A">
            <w:pPr>
              <w:spacing w:line="320" w:lineRule="exact"/>
              <w:jc w:val="center"/>
              <w:textAlignment w:val="baseline"/>
              <w:rPr>
                <w:rStyle w:val="38"/>
                <w:rFonts w:hint="eastAsia" w:ascii="宋体" w:hAnsi="宋体" w:cs="宋体"/>
                <w:color w:val="auto"/>
                <w:sz w:val="24"/>
              </w:rPr>
            </w:pPr>
          </w:p>
        </w:tc>
      </w:tr>
      <w:tr w14:paraId="2B09C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40D87095">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3EA578E3">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B99CF03">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75E214A">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DFC2A12">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55AEBD1">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3F0CD10">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DFC694E">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3C96EE1">
            <w:pPr>
              <w:spacing w:line="320" w:lineRule="exact"/>
              <w:jc w:val="center"/>
              <w:textAlignment w:val="baseline"/>
              <w:rPr>
                <w:rStyle w:val="38"/>
                <w:rFonts w:hint="eastAsia" w:ascii="宋体" w:hAnsi="宋体" w:cs="宋体"/>
                <w:color w:val="auto"/>
                <w:sz w:val="24"/>
              </w:rPr>
            </w:pPr>
          </w:p>
        </w:tc>
      </w:tr>
      <w:tr w14:paraId="1465E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22D57496">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57CBF920">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1A370A5">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D694C19">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54F6C231">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A5076DB">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3AC8F6F">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5E44CFC">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42CE8AD">
            <w:pPr>
              <w:spacing w:line="320" w:lineRule="exact"/>
              <w:jc w:val="center"/>
              <w:textAlignment w:val="baseline"/>
              <w:rPr>
                <w:rStyle w:val="38"/>
                <w:rFonts w:hint="eastAsia" w:ascii="宋体" w:hAnsi="宋体" w:cs="宋体"/>
                <w:color w:val="auto"/>
                <w:sz w:val="24"/>
              </w:rPr>
            </w:pPr>
          </w:p>
        </w:tc>
      </w:tr>
      <w:tr w14:paraId="2FEC6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15BE5BBA">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0D73DCBE">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8092B6A">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9809D57">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1E776B6">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CE6DC2E">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5C19C1F">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31B2EB6">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DC99E8D">
            <w:pPr>
              <w:spacing w:line="320" w:lineRule="exact"/>
              <w:jc w:val="center"/>
              <w:textAlignment w:val="baseline"/>
              <w:rPr>
                <w:rStyle w:val="38"/>
                <w:rFonts w:hint="eastAsia" w:ascii="宋体" w:hAnsi="宋体" w:cs="宋体"/>
                <w:color w:val="auto"/>
                <w:sz w:val="24"/>
              </w:rPr>
            </w:pPr>
          </w:p>
        </w:tc>
      </w:tr>
      <w:tr w14:paraId="149A7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13C78E99">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1603C28D">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A72E93C">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A68C2BA">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CCE55F4">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3D76C47">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66D4EBB">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861D7A8">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A010951">
            <w:pPr>
              <w:spacing w:line="320" w:lineRule="exact"/>
              <w:jc w:val="center"/>
              <w:textAlignment w:val="baseline"/>
              <w:rPr>
                <w:rStyle w:val="38"/>
                <w:rFonts w:hint="eastAsia" w:ascii="宋体" w:hAnsi="宋体" w:cs="宋体"/>
                <w:color w:val="auto"/>
                <w:sz w:val="24"/>
              </w:rPr>
            </w:pPr>
          </w:p>
        </w:tc>
      </w:tr>
      <w:tr w14:paraId="01C5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F532BC4">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05AAE768">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9937BA0">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58BB75">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3861F1A">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06A98E5">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938F3E2">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C4AA515">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8A47111">
            <w:pPr>
              <w:spacing w:line="320" w:lineRule="exact"/>
              <w:jc w:val="center"/>
              <w:textAlignment w:val="baseline"/>
              <w:rPr>
                <w:rStyle w:val="38"/>
                <w:rFonts w:hint="eastAsia" w:ascii="宋体" w:hAnsi="宋体" w:cs="宋体"/>
                <w:color w:val="auto"/>
                <w:sz w:val="24"/>
              </w:rPr>
            </w:pPr>
          </w:p>
        </w:tc>
      </w:tr>
      <w:tr w14:paraId="145EB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2D369C00">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66A6E9C3">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12356F4">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6F2C1FD">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30F5A43F">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CAF11EA">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391F3E4">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E85E12F">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7F72A2D">
            <w:pPr>
              <w:spacing w:line="320" w:lineRule="exact"/>
              <w:jc w:val="center"/>
              <w:textAlignment w:val="baseline"/>
              <w:rPr>
                <w:rStyle w:val="38"/>
                <w:rFonts w:hint="eastAsia" w:ascii="宋体" w:hAnsi="宋体" w:cs="宋体"/>
                <w:color w:val="auto"/>
                <w:sz w:val="24"/>
              </w:rPr>
            </w:pPr>
          </w:p>
        </w:tc>
      </w:tr>
      <w:tr w14:paraId="3814A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3AB1BF49">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7C1D893C">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F437AE4">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8C21DAF">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E742B91">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D97826E">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4627E7C">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7653742">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DECAE8D">
            <w:pPr>
              <w:spacing w:line="320" w:lineRule="exact"/>
              <w:jc w:val="center"/>
              <w:textAlignment w:val="baseline"/>
              <w:rPr>
                <w:rStyle w:val="38"/>
                <w:rFonts w:hint="eastAsia" w:ascii="宋体" w:hAnsi="宋体" w:cs="宋体"/>
                <w:color w:val="auto"/>
                <w:sz w:val="24"/>
              </w:rPr>
            </w:pPr>
          </w:p>
        </w:tc>
      </w:tr>
      <w:tr w14:paraId="600E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B5D219C">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1A446BFF">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9C912DC">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5ECF0F">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4B6970F4">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4FF8914">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C6B7F29">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A9D4C0D">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DECC955">
            <w:pPr>
              <w:spacing w:line="320" w:lineRule="exact"/>
              <w:jc w:val="center"/>
              <w:textAlignment w:val="baseline"/>
              <w:rPr>
                <w:rStyle w:val="38"/>
                <w:rFonts w:hint="eastAsia" w:ascii="宋体" w:hAnsi="宋体" w:cs="宋体"/>
                <w:color w:val="auto"/>
                <w:sz w:val="24"/>
              </w:rPr>
            </w:pPr>
          </w:p>
        </w:tc>
      </w:tr>
      <w:tr w14:paraId="270D5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4C914D15">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45E7E7BF">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121BBA">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2A7A94E">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1CDC8D8">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90FF5E6">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A5E43DE">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7B8441A">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E8738D7">
            <w:pPr>
              <w:spacing w:line="320" w:lineRule="exact"/>
              <w:jc w:val="center"/>
              <w:textAlignment w:val="baseline"/>
              <w:rPr>
                <w:rStyle w:val="38"/>
                <w:rFonts w:hint="eastAsia" w:ascii="宋体" w:hAnsi="宋体" w:cs="宋体"/>
                <w:color w:val="auto"/>
                <w:sz w:val="24"/>
              </w:rPr>
            </w:pPr>
          </w:p>
        </w:tc>
      </w:tr>
      <w:tr w14:paraId="53571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3ADD2FC">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63DA7AF9">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7709964">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DA2A02E">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16CE5A67">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B0F627E">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DDD11CC">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8355252">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B3AE620">
            <w:pPr>
              <w:spacing w:line="320" w:lineRule="exact"/>
              <w:jc w:val="center"/>
              <w:textAlignment w:val="baseline"/>
              <w:rPr>
                <w:rStyle w:val="38"/>
                <w:rFonts w:hint="eastAsia" w:ascii="宋体" w:hAnsi="宋体" w:cs="宋体"/>
                <w:color w:val="auto"/>
                <w:sz w:val="24"/>
              </w:rPr>
            </w:pPr>
          </w:p>
        </w:tc>
      </w:tr>
      <w:tr w14:paraId="0494F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0B6DCD5D">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3ED84415">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5EBAF89">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4913428">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7FA0D0F">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4B6CB21A">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05A58AC">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AE43BB6">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420F444">
            <w:pPr>
              <w:spacing w:line="320" w:lineRule="exact"/>
              <w:jc w:val="center"/>
              <w:textAlignment w:val="baseline"/>
              <w:rPr>
                <w:rStyle w:val="38"/>
                <w:rFonts w:hint="eastAsia" w:ascii="宋体" w:hAnsi="宋体" w:cs="宋体"/>
                <w:color w:val="auto"/>
                <w:sz w:val="24"/>
              </w:rPr>
            </w:pPr>
          </w:p>
        </w:tc>
      </w:tr>
      <w:tr w14:paraId="6ED6B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4B3D8882">
            <w:pPr>
              <w:spacing w:line="320" w:lineRule="exact"/>
              <w:jc w:val="center"/>
              <w:textAlignment w:val="baseline"/>
              <w:rPr>
                <w:rStyle w:val="38"/>
                <w:rFonts w:hint="eastAsia"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4A6C10CD">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79FABD">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1F52642">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C45A9F6">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0AC41B9">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7FBE83B">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2B2B807">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434C941">
            <w:pPr>
              <w:spacing w:line="320" w:lineRule="exact"/>
              <w:jc w:val="center"/>
              <w:textAlignment w:val="baseline"/>
              <w:rPr>
                <w:rStyle w:val="38"/>
                <w:rFonts w:hint="eastAsia" w:ascii="宋体" w:hAnsi="宋体" w:cs="宋体"/>
                <w:color w:val="auto"/>
                <w:sz w:val="24"/>
              </w:rPr>
            </w:pPr>
          </w:p>
        </w:tc>
      </w:tr>
      <w:tr w14:paraId="070CB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810" w:type="dxa"/>
            <w:tcBorders>
              <w:top w:val="single" w:color="000000" w:sz="4" w:space="0"/>
              <w:left w:val="single" w:color="000000" w:sz="4" w:space="0"/>
              <w:bottom w:val="single" w:color="000000" w:sz="4" w:space="0"/>
              <w:right w:val="single" w:color="000000" w:sz="4" w:space="0"/>
            </w:tcBorders>
            <w:noWrap w:val="0"/>
            <w:vAlign w:val="center"/>
          </w:tcPr>
          <w:p w14:paraId="5B25463C">
            <w:pPr>
              <w:spacing w:line="320" w:lineRule="exact"/>
              <w:jc w:val="center"/>
              <w:textAlignment w:val="baseline"/>
              <w:rPr>
                <w:rStyle w:val="38"/>
                <w:rFonts w:ascii="宋体" w:hAnsi="宋体" w:cs="宋体"/>
                <w:color w:val="auto"/>
                <w:sz w:val="24"/>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216EF8C0">
            <w:pPr>
              <w:spacing w:line="320" w:lineRule="exact"/>
              <w:jc w:val="center"/>
              <w:textAlignment w:val="baseline"/>
              <w:rPr>
                <w:rStyle w:val="38"/>
                <w:rFonts w:hint="eastAsia" w:ascii="宋体" w:hAnsi="宋体" w:cs="宋体"/>
                <w:color w:val="auto"/>
                <w:sz w:val="24"/>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F4C4EE4">
            <w:pPr>
              <w:spacing w:line="320" w:lineRule="exact"/>
              <w:jc w:val="center"/>
              <w:textAlignment w:val="baseline"/>
              <w:rPr>
                <w:rStyle w:val="38"/>
                <w:rFonts w:hint="eastAsia" w:ascii="宋体" w:hAnsi="宋体" w:cs="宋体"/>
                <w:color w:val="auto"/>
                <w:sz w:val="24"/>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AE1A5F7">
            <w:pPr>
              <w:spacing w:line="320" w:lineRule="exact"/>
              <w:jc w:val="center"/>
              <w:textAlignment w:val="baseline"/>
              <w:rPr>
                <w:rStyle w:val="38"/>
                <w:rFonts w:hint="eastAsia" w:ascii="宋体" w:hAnsi="宋体" w:cs="宋体"/>
                <w:color w:val="auto"/>
                <w:sz w:val="24"/>
              </w:rPr>
            </w:pP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1270C977">
            <w:pPr>
              <w:spacing w:line="320" w:lineRule="exact"/>
              <w:jc w:val="center"/>
              <w:textAlignment w:val="baseline"/>
              <w:rPr>
                <w:rStyle w:val="38"/>
                <w:rFonts w:hint="eastAsia" w:ascii="宋体" w:hAnsi="宋体" w:cs="宋体"/>
                <w:color w:val="auto"/>
                <w:sz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5A57445">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B18A792">
            <w:pPr>
              <w:spacing w:line="320" w:lineRule="exact"/>
              <w:jc w:val="center"/>
              <w:textAlignment w:val="baseline"/>
              <w:rPr>
                <w:rStyle w:val="38"/>
                <w:rFonts w:hint="eastAsia" w:ascii="宋体" w:hAnsi="宋体" w:cs="宋体"/>
                <w:color w:val="auto"/>
                <w:sz w:val="24"/>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E4912A1">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81DE175">
            <w:pPr>
              <w:spacing w:line="320" w:lineRule="exact"/>
              <w:jc w:val="center"/>
              <w:textAlignment w:val="baseline"/>
              <w:rPr>
                <w:rStyle w:val="38"/>
                <w:rFonts w:hint="eastAsia" w:ascii="宋体" w:hAnsi="宋体" w:cs="宋体"/>
                <w:color w:val="auto"/>
                <w:sz w:val="24"/>
              </w:rPr>
            </w:pPr>
          </w:p>
        </w:tc>
      </w:tr>
      <w:tr w14:paraId="1F4AB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6173" w:type="dxa"/>
            <w:gridSpan w:val="5"/>
            <w:tcBorders>
              <w:top w:val="single" w:color="000000" w:sz="4" w:space="0"/>
              <w:left w:val="single" w:color="000000" w:sz="4" w:space="0"/>
              <w:bottom w:val="single" w:color="000000" w:sz="4" w:space="0"/>
              <w:right w:val="single" w:color="000000" w:sz="4" w:space="0"/>
            </w:tcBorders>
            <w:noWrap w:val="0"/>
            <w:vAlign w:val="center"/>
          </w:tcPr>
          <w:p w14:paraId="49FE5CDA">
            <w:pPr>
              <w:spacing w:line="320" w:lineRule="exact"/>
              <w:jc w:val="center"/>
              <w:textAlignment w:val="baseline"/>
              <w:rPr>
                <w:rStyle w:val="38"/>
                <w:rFonts w:ascii="宋体" w:hAnsi="宋体" w:cs="宋体"/>
                <w:color w:val="auto"/>
                <w:sz w:val="24"/>
              </w:rPr>
            </w:pPr>
            <w:r>
              <w:rPr>
                <w:rStyle w:val="38"/>
                <w:rFonts w:hint="eastAsia" w:ascii="宋体" w:hAnsi="宋体" w:cs="宋体"/>
                <w:color w:val="auto"/>
                <w:sz w:val="24"/>
              </w:rPr>
              <w:t>合计</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BDA9640">
            <w:pPr>
              <w:spacing w:line="320" w:lineRule="exact"/>
              <w:jc w:val="center"/>
              <w:textAlignment w:val="baseline"/>
              <w:rPr>
                <w:rStyle w:val="38"/>
                <w:rFonts w:hint="eastAsia" w:ascii="宋体" w:hAnsi="宋体" w:cs="宋体"/>
                <w:color w:val="auto"/>
                <w:sz w:val="24"/>
              </w:rPr>
            </w:pPr>
          </w:p>
        </w:tc>
        <w:tc>
          <w:tcPr>
            <w:tcW w:w="1680" w:type="dxa"/>
            <w:gridSpan w:val="2"/>
            <w:tcBorders>
              <w:top w:val="single" w:color="000000" w:sz="4" w:space="0"/>
              <w:left w:val="single" w:color="000000" w:sz="4" w:space="0"/>
              <w:bottom w:val="single" w:color="000000" w:sz="4" w:space="0"/>
              <w:right w:val="single" w:color="000000" w:sz="4" w:space="0"/>
            </w:tcBorders>
            <w:noWrap w:val="0"/>
            <w:vAlign w:val="center"/>
          </w:tcPr>
          <w:p w14:paraId="12FAD08A">
            <w:pPr>
              <w:spacing w:line="320" w:lineRule="exact"/>
              <w:jc w:val="center"/>
              <w:textAlignment w:val="baseline"/>
              <w:rPr>
                <w:rStyle w:val="38"/>
                <w:rFonts w:hint="eastAsia" w:ascii="宋体" w:hAnsi="宋体" w:cs="宋体"/>
                <w:color w:val="auto"/>
                <w:sz w:val="24"/>
              </w:rPr>
            </w:pP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8531D72">
            <w:pPr>
              <w:spacing w:line="320" w:lineRule="exact"/>
              <w:jc w:val="center"/>
              <w:textAlignment w:val="baseline"/>
              <w:rPr>
                <w:rStyle w:val="38"/>
                <w:rFonts w:hint="eastAsia" w:ascii="宋体" w:hAnsi="宋体" w:cs="宋体"/>
                <w:color w:val="auto"/>
                <w:sz w:val="24"/>
              </w:rPr>
            </w:pPr>
          </w:p>
        </w:tc>
      </w:tr>
    </w:tbl>
    <w:p w14:paraId="5960510B">
      <w:pPr>
        <w:widowControl/>
        <w:spacing w:line="400" w:lineRule="exact"/>
        <w:jc w:val="left"/>
        <w:rPr>
          <w:rFonts w:ascii="宋体" w:hAnsi="宋体" w:cs="宋体"/>
          <w:color w:val="auto"/>
          <w:kern w:val="0"/>
          <w:sz w:val="24"/>
        </w:rPr>
      </w:pPr>
      <w:r>
        <w:rPr>
          <w:rFonts w:hint="eastAsia" w:ascii="宋体" w:hAnsi="宋体" w:cs="宋体"/>
          <w:color w:val="auto"/>
          <w:kern w:val="0"/>
          <w:sz w:val="28"/>
        </w:rPr>
        <w:t xml:space="preserve">                               </w:t>
      </w:r>
    </w:p>
    <w:p w14:paraId="59EB137A">
      <w:pPr>
        <w:widowControl/>
        <w:adjustRightInd w:val="0"/>
        <w:spacing w:line="400" w:lineRule="exact"/>
        <w:ind w:firstLine="480" w:firstLineChars="200"/>
        <w:jc w:val="left"/>
        <w:rPr>
          <w:rFonts w:ascii="宋体" w:hAnsi="宋体" w:cs="宋体"/>
          <w:color w:val="auto"/>
          <w:kern w:val="0"/>
          <w:sz w:val="24"/>
        </w:rPr>
      </w:pPr>
    </w:p>
    <w:p w14:paraId="1926F64B">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投标供应商名称：        （</w:t>
      </w:r>
      <w:r>
        <w:rPr>
          <w:rFonts w:hint="eastAsia" w:ascii="宋体" w:hAnsi="宋体" w:cs="宋体"/>
          <w:color w:val="auto"/>
          <w:sz w:val="24"/>
        </w:rPr>
        <w:t>加盖电子公章</w:t>
      </w:r>
      <w:r>
        <w:rPr>
          <w:rFonts w:hint="eastAsia" w:ascii="宋体" w:hAnsi="宋体" w:cs="宋体"/>
          <w:color w:val="auto"/>
          <w:kern w:val="0"/>
          <w:sz w:val="24"/>
        </w:rPr>
        <w:t>）</w:t>
      </w:r>
    </w:p>
    <w:p w14:paraId="0921C46C">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273F0CA7">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法定代表人或授权代表人（电子签名/签章）：</w:t>
      </w:r>
    </w:p>
    <w:p w14:paraId="7F16D18F">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3440A17B">
      <w:pPr>
        <w:widowControl/>
        <w:adjustRightInd w:val="0"/>
        <w:spacing w:line="4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投标日期：</w:t>
      </w:r>
    </w:p>
    <w:p w14:paraId="0FFC3047">
      <w:pPr>
        <w:pStyle w:val="14"/>
        <w:rPr>
          <w:rFonts w:hint="eastAsia" w:ascii="宋体" w:hAnsi="宋体" w:cs="宋体"/>
          <w:color w:val="auto"/>
          <w:kern w:val="0"/>
          <w:sz w:val="24"/>
        </w:rPr>
      </w:pPr>
    </w:p>
    <w:p w14:paraId="3B44508F">
      <w:pPr>
        <w:pStyle w:val="14"/>
        <w:rPr>
          <w:rFonts w:hint="eastAsia" w:ascii="宋体" w:hAnsi="宋体" w:cs="宋体"/>
          <w:color w:val="auto"/>
          <w:kern w:val="0"/>
          <w:sz w:val="24"/>
        </w:rPr>
      </w:pPr>
    </w:p>
    <w:p w14:paraId="717608FF">
      <w:pPr>
        <w:pStyle w:val="14"/>
        <w:rPr>
          <w:rFonts w:hint="eastAsia" w:ascii="宋体" w:hAnsi="宋体" w:cs="宋体"/>
          <w:color w:val="auto"/>
          <w:kern w:val="0"/>
          <w:sz w:val="24"/>
        </w:rPr>
      </w:pPr>
    </w:p>
    <w:p w14:paraId="57BE9485">
      <w:pPr>
        <w:pStyle w:val="14"/>
        <w:rPr>
          <w:rFonts w:hint="eastAsia" w:ascii="宋体" w:hAnsi="宋体" w:cs="宋体"/>
          <w:color w:val="auto"/>
          <w:kern w:val="0"/>
          <w:sz w:val="24"/>
        </w:rPr>
      </w:pPr>
    </w:p>
    <w:p w14:paraId="0E34B552">
      <w:pPr>
        <w:widowControl/>
        <w:adjustRightInd w:val="0"/>
        <w:spacing w:line="400" w:lineRule="exact"/>
        <w:jc w:val="left"/>
        <w:rPr>
          <w:rFonts w:ascii="宋体" w:hAnsi="宋体" w:cs="宋体"/>
          <w:color w:val="auto"/>
          <w:kern w:val="0"/>
          <w:sz w:val="24"/>
        </w:rPr>
      </w:pPr>
      <w:r>
        <w:rPr>
          <w:rFonts w:hint="eastAsia" w:ascii="宋体" w:hAnsi="宋体" w:cs="宋体"/>
          <w:color w:val="auto"/>
          <w:kern w:val="0"/>
          <w:sz w:val="24"/>
        </w:rPr>
        <w:t>备注：需要将产品主机，配件，附件及附属配置一一列明报价</w:t>
      </w:r>
    </w:p>
    <w:p w14:paraId="197A556B">
      <w:pPr>
        <w:spacing w:line="360" w:lineRule="auto"/>
        <w:jc w:val="center"/>
        <w:rPr>
          <w:rFonts w:hint="eastAsia" w:ascii="宋体" w:hAnsi="宋体" w:eastAsia="宋体" w:cs="宋体"/>
          <w:b/>
          <w:color w:val="auto"/>
          <w:sz w:val="30"/>
          <w:szCs w:val="30"/>
        </w:rPr>
      </w:pPr>
      <w:bookmarkStart w:id="124" w:name="_Toc217446090"/>
      <w:bookmarkStart w:id="125" w:name="_Toc259462343"/>
      <w:r>
        <w:rPr>
          <w:rFonts w:hint="eastAsia" w:ascii="宋体" w:hAnsi="宋体" w:eastAsia="宋体" w:cs="宋体"/>
          <w:b/>
          <w:color w:val="auto"/>
          <w:sz w:val="30"/>
          <w:szCs w:val="30"/>
        </w:rPr>
        <w:t xml:space="preserve"> </w:t>
      </w:r>
    </w:p>
    <w:p w14:paraId="72890363">
      <w:pPr>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3</w:t>
      </w:r>
      <w:r>
        <w:rPr>
          <w:rFonts w:hint="eastAsia" w:ascii="宋体" w:hAnsi="宋体" w:eastAsia="宋体" w:cs="宋体"/>
          <w:b/>
          <w:color w:val="auto"/>
          <w:sz w:val="30"/>
          <w:szCs w:val="30"/>
        </w:rPr>
        <w:t>.规格、技术指标响应偏离表</w:t>
      </w:r>
      <w:bookmarkEnd w:id="124"/>
      <w:bookmarkEnd w:id="125"/>
    </w:p>
    <w:p w14:paraId="57BD8CDE">
      <w:pPr>
        <w:widowControl/>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项目</w:t>
      </w:r>
      <w:r>
        <w:rPr>
          <w:rFonts w:hint="eastAsia" w:ascii="宋体" w:hAnsi="宋体" w:eastAsia="宋体" w:cs="宋体"/>
          <w:color w:val="auto"/>
          <w:kern w:val="0"/>
          <w:sz w:val="28"/>
          <w:szCs w:val="28"/>
        </w:rPr>
        <w:t xml:space="preserve">编号：                                </w:t>
      </w:r>
    </w:p>
    <w:tbl>
      <w:tblPr>
        <w:tblStyle w:val="22"/>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2419"/>
        <w:gridCol w:w="2463"/>
        <w:gridCol w:w="1560"/>
        <w:gridCol w:w="1903"/>
      </w:tblGrid>
      <w:tr w14:paraId="402B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tcBorders>
              <w:top w:val="single" w:color="auto" w:sz="4" w:space="0"/>
              <w:left w:val="single" w:color="auto" w:sz="4" w:space="0"/>
              <w:bottom w:val="single" w:color="auto" w:sz="4" w:space="0"/>
              <w:right w:val="single" w:color="auto" w:sz="4" w:space="0"/>
            </w:tcBorders>
            <w:noWrap w:val="0"/>
            <w:vAlign w:val="center"/>
          </w:tcPr>
          <w:p w14:paraId="379667A6">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序号</w:t>
            </w:r>
          </w:p>
        </w:tc>
        <w:tc>
          <w:tcPr>
            <w:tcW w:w="2419" w:type="dxa"/>
            <w:tcBorders>
              <w:top w:val="single" w:color="auto" w:sz="4" w:space="0"/>
              <w:left w:val="single" w:color="auto" w:sz="4" w:space="0"/>
              <w:bottom w:val="single" w:color="auto" w:sz="4" w:space="0"/>
              <w:right w:val="single" w:color="auto" w:sz="4" w:space="0"/>
            </w:tcBorders>
            <w:noWrap w:val="0"/>
            <w:vAlign w:val="center"/>
          </w:tcPr>
          <w:p w14:paraId="384CCA11">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招标文件要求</w:t>
            </w:r>
          </w:p>
        </w:tc>
        <w:tc>
          <w:tcPr>
            <w:tcW w:w="2463" w:type="dxa"/>
            <w:tcBorders>
              <w:top w:val="single" w:color="auto" w:sz="4" w:space="0"/>
              <w:left w:val="single" w:color="auto" w:sz="4" w:space="0"/>
              <w:bottom w:val="single" w:color="auto" w:sz="4" w:space="0"/>
              <w:right w:val="single" w:color="auto" w:sz="4" w:space="0"/>
            </w:tcBorders>
            <w:noWrap w:val="0"/>
            <w:vAlign w:val="center"/>
          </w:tcPr>
          <w:p w14:paraId="237A5F0C">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投标响应</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1CE2D1A">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偏离情况</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1F701274">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偏离对货物（设备）性能的影响</w:t>
            </w:r>
          </w:p>
        </w:tc>
      </w:tr>
      <w:tr w14:paraId="75B7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4956DBF5">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7D6C4D0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24AD742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34A797FB">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52D39780">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2550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0757056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02DCAC96">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2788AC7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7E2EE0E9">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2850BC9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73A5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74C2EB3E">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7AABC68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145C121B">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37DBB1E5">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1D4278CF">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4B1D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71E2554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626D4E8D">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0C85147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1B1C8576">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0B636EBC">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78D9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385D1314">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569E3137">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57BDDA47">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7EC7637B">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0A5FBE7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5705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3D9BD406">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2D2BB7A3">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694AC557">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371DB0C4">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7472C1F7">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r w14:paraId="6346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3" w:type="dxa"/>
            <w:tcBorders>
              <w:top w:val="single" w:color="auto" w:sz="4" w:space="0"/>
              <w:left w:val="single" w:color="auto" w:sz="4" w:space="0"/>
              <w:bottom w:val="single" w:color="auto" w:sz="4" w:space="0"/>
              <w:right w:val="single" w:color="auto" w:sz="4" w:space="0"/>
            </w:tcBorders>
            <w:noWrap w:val="0"/>
            <w:vAlign w:val="top"/>
          </w:tcPr>
          <w:p w14:paraId="66DD493E">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19" w:type="dxa"/>
            <w:tcBorders>
              <w:top w:val="single" w:color="auto" w:sz="4" w:space="0"/>
              <w:left w:val="single" w:color="auto" w:sz="4" w:space="0"/>
              <w:bottom w:val="single" w:color="auto" w:sz="4" w:space="0"/>
              <w:right w:val="single" w:color="auto" w:sz="4" w:space="0"/>
            </w:tcBorders>
            <w:noWrap w:val="0"/>
            <w:vAlign w:val="top"/>
          </w:tcPr>
          <w:p w14:paraId="566E7CC9">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2463" w:type="dxa"/>
            <w:tcBorders>
              <w:top w:val="single" w:color="auto" w:sz="4" w:space="0"/>
              <w:left w:val="single" w:color="auto" w:sz="4" w:space="0"/>
              <w:bottom w:val="single" w:color="auto" w:sz="4" w:space="0"/>
              <w:right w:val="single" w:color="auto" w:sz="4" w:space="0"/>
            </w:tcBorders>
            <w:noWrap w:val="0"/>
            <w:vAlign w:val="top"/>
          </w:tcPr>
          <w:p w14:paraId="1EC0539D">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c>
          <w:tcPr>
            <w:tcW w:w="1560" w:type="dxa"/>
            <w:tcBorders>
              <w:top w:val="single" w:color="auto" w:sz="4" w:space="0"/>
              <w:left w:val="single" w:color="auto" w:sz="4" w:space="0"/>
              <w:bottom w:val="single" w:color="auto" w:sz="4" w:space="0"/>
              <w:right w:val="single" w:color="auto" w:sz="4" w:space="0"/>
            </w:tcBorders>
            <w:noWrap w:val="0"/>
            <w:vAlign w:val="top"/>
          </w:tcPr>
          <w:p w14:paraId="395891C0">
            <w:pPr>
              <w:widowControl/>
              <w:jc w:val="left"/>
              <w:rPr>
                <w:rFonts w:hint="eastAsia" w:ascii="宋体" w:hAnsi="宋体" w:eastAsia="宋体" w:cs="宋体"/>
                <w:color w:val="auto"/>
                <w:kern w:val="0"/>
                <w:sz w:val="24"/>
              </w:rPr>
            </w:pPr>
          </w:p>
        </w:tc>
        <w:tc>
          <w:tcPr>
            <w:tcW w:w="1903" w:type="dxa"/>
            <w:tcBorders>
              <w:top w:val="single" w:color="auto" w:sz="4" w:space="0"/>
              <w:left w:val="single" w:color="auto" w:sz="4" w:space="0"/>
              <w:bottom w:val="single" w:color="auto" w:sz="4" w:space="0"/>
              <w:right w:val="single" w:color="auto" w:sz="4" w:space="0"/>
            </w:tcBorders>
            <w:noWrap w:val="0"/>
            <w:vAlign w:val="top"/>
          </w:tcPr>
          <w:p w14:paraId="55F3C128">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4A7A6CE1">
      <w:pPr>
        <w:pStyle w:val="10"/>
        <w:tabs>
          <w:tab w:val="left" w:pos="142"/>
        </w:tabs>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1、供应商应对照采购文件第四章  技术标准及要求，逐条说明所提供货物对采购文件的技术规格做出实质性的响应；</w:t>
      </w:r>
    </w:p>
    <w:p w14:paraId="0B941148">
      <w:pPr>
        <w:pStyle w:val="10"/>
        <w:tabs>
          <w:tab w:val="left" w:pos="142"/>
        </w:tabs>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2、对有具体参数要求的指标，供应商必须填写所提供设备的具体参数值；</w:t>
      </w:r>
    </w:p>
    <w:p w14:paraId="412DAF61">
      <w:pPr>
        <w:pStyle w:val="10"/>
        <w:tabs>
          <w:tab w:val="left" w:pos="142"/>
        </w:tabs>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3、供应商除如实填写技术规格偏离表外，必须提供技术支持资料支持参数技术规格偏离表应答（</w:t>
      </w:r>
      <w:r>
        <w:rPr>
          <w:rFonts w:hint="eastAsia" w:ascii="宋体" w:hAnsi="宋体" w:eastAsia="宋体" w:cs="宋体"/>
          <w:b/>
          <w:color w:val="auto"/>
          <w:szCs w:val="21"/>
          <w:lang w:val="en-US" w:eastAsia="zh-CN"/>
        </w:rPr>
        <w:t>检验报告或认证证书或制造厂商发布的最新技术资料彩页或官网链接及截图等</w:t>
      </w:r>
      <w:r>
        <w:rPr>
          <w:rFonts w:hint="eastAsia" w:ascii="宋体" w:hAnsi="宋体" w:eastAsia="宋体" w:cs="宋体"/>
          <w:b/>
          <w:color w:val="auto"/>
          <w:szCs w:val="21"/>
        </w:rPr>
        <w:t>），技术支持资料必须是原厂家出具的真实材料，如有虚假，将取消中标资格；</w:t>
      </w:r>
    </w:p>
    <w:p w14:paraId="66F94FBC">
      <w:pPr>
        <w:pStyle w:val="10"/>
        <w:tabs>
          <w:tab w:val="left" w:pos="142"/>
        </w:tabs>
        <w:spacing w:line="360" w:lineRule="auto"/>
        <w:ind w:firstLine="422" w:firstLineChars="200"/>
        <w:rPr>
          <w:rFonts w:ascii="宋体" w:hAnsi="宋体" w:cs="宋体"/>
          <w:b/>
          <w:color w:val="auto"/>
          <w:kern w:val="0"/>
          <w:sz w:val="36"/>
          <w:szCs w:val="28"/>
        </w:rPr>
      </w:pPr>
      <w:r>
        <w:rPr>
          <w:rFonts w:hint="eastAsia" w:ascii="宋体" w:hAnsi="宋体" w:eastAsia="宋体" w:cs="宋体"/>
          <w:b/>
          <w:color w:val="auto"/>
          <w:szCs w:val="21"/>
        </w:rPr>
        <w:t>4、若投标文件中提供的技术支持资料参数与技术规格偏离表应答不符的，以技术支持资料为准；若未在技术规格偏离表中应答的，视为不响应该条技术参数要求。</w:t>
      </w:r>
    </w:p>
    <w:p w14:paraId="0E03BA67">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投标供应商名称：        （</w:t>
      </w:r>
      <w:r>
        <w:rPr>
          <w:rFonts w:hint="eastAsia" w:ascii="宋体" w:hAnsi="宋体" w:cs="宋体"/>
          <w:color w:val="auto"/>
          <w:sz w:val="24"/>
        </w:rPr>
        <w:t>加盖电子公章</w:t>
      </w:r>
      <w:r>
        <w:rPr>
          <w:rFonts w:hint="eastAsia" w:ascii="宋体" w:hAnsi="宋体" w:cs="宋体"/>
          <w:color w:val="auto"/>
          <w:kern w:val="0"/>
          <w:sz w:val="24"/>
        </w:rPr>
        <w:t>）</w:t>
      </w:r>
    </w:p>
    <w:p w14:paraId="7D2B772A">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773D90D5">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法定代表人或授权代表人（电子签名/签章）：</w:t>
      </w:r>
    </w:p>
    <w:p w14:paraId="001B369E">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56DA5D50">
      <w:pPr>
        <w:widowControl/>
        <w:adjustRightInd w:val="0"/>
        <w:spacing w:line="4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投标日期：</w:t>
      </w:r>
    </w:p>
    <w:p w14:paraId="65B9D30B">
      <w:pPr>
        <w:widowControl/>
        <w:spacing w:line="360" w:lineRule="auto"/>
        <w:ind w:firstLine="560" w:firstLineChars="200"/>
        <w:jc w:val="left"/>
        <w:rPr>
          <w:rFonts w:hint="eastAsia" w:ascii="宋体" w:hAnsi="宋体" w:cs="宋体"/>
          <w:bCs/>
          <w:color w:val="auto"/>
          <w:kern w:val="0"/>
          <w:sz w:val="28"/>
          <w:szCs w:val="28"/>
        </w:rPr>
      </w:pPr>
      <w:r>
        <w:rPr>
          <w:rFonts w:hint="eastAsia" w:ascii="宋体" w:hAnsi="宋体" w:cs="宋体"/>
          <w:bCs/>
          <w:color w:val="auto"/>
          <w:kern w:val="0"/>
          <w:sz w:val="28"/>
          <w:szCs w:val="28"/>
        </w:rPr>
        <w:t> </w:t>
      </w:r>
    </w:p>
    <w:p w14:paraId="6E653C50">
      <w:pPr>
        <w:widowControl/>
        <w:spacing w:line="360" w:lineRule="auto"/>
        <w:ind w:firstLine="560" w:firstLineChars="200"/>
        <w:jc w:val="left"/>
        <w:rPr>
          <w:rFonts w:hint="eastAsia" w:ascii="宋体" w:hAnsi="宋体" w:cs="宋体"/>
          <w:bCs/>
          <w:color w:val="auto"/>
          <w:kern w:val="0"/>
          <w:sz w:val="28"/>
          <w:szCs w:val="28"/>
        </w:rPr>
      </w:pPr>
    </w:p>
    <w:p w14:paraId="0DD80A25">
      <w:pPr>
        <w:widowControl/>
        <w:spacing w:line="360" w:lineRule="auto"/>
        <w:ind w:firstLine="560" w:firstLineChars="200"/>
        <w:jc w:val="left"/>
        <w:rPr>
          <w:rFonts w:hint="eastAsia" w:ascii="宋体" w:hAnsi="宋体" w:cs="宋体"/>
          <w:bCs/>
          <w:color w:val="auto"/>
          <w:kern w:val="0"/>
          <w:sz w:val="28"/>
          <w:szCs w:val="28"/>
        </w:rPr>
      </w:pPr>
    </w:p>
    <w:p w14:paraId="2231F708">
      <w:pPr>
        <w:widowControl/>
        <w:spacing w:line="360" w:lineRule="auto"/>
        <w:ind w:firstLine="560" w:firstLineChars="200"/>
        <w:jc w:val="left"/>
        <w:rPr>
          <w:rFonts w:hint="eastAsia" w:ascii="宋体" w:hAnsi="宋体" w:cs="宋体"/>
          <w:bCs/>
          <w:color w:val="auto"/>
          <w:kern w:val="0"/>
          <w:sz w:val="28"/>
          <w:szCs w:val="28"/>
        </w:rPr>
      </w:pPr>
    </w:p>
    <w:p w14:paraId="0AAD2FF6">
      <w:pPr>
        <w:spacing w:line="360" w:lineRule="auto"/>
        <w:jc w:val="center"/>
        <w:rPr>
          <w:rFonts w:hint="eastAsia" w:ascii="宋体" w:hAnsi="宋体"/>
          <w:b/>
          <w:color w:val="auto"/>
          <w:sz w:val="30"/>
          <w:szCs w:val="30"/>
        </w:rPr>
      </w:pPr>
      <w:r>
        <w:rPr>
          <w:rFonts w:hint="eastAsia" w:ascii="宋体" w:hAnsi="宋体"/>
          <w:b/>
          <w:color w:val="auto"/>
          <w:sz w:val="30"/>
          <w:szCs w:val="30"/>
          <w:lang w:val="en-US" w:eastAsia="zh-CN"/>
        </w:rPr>
        <w:t>4</w:t>
      </w:r>
      <w:r>
        <w:rPr>
          <w:rFonts w:hint="eastAsia" w:ascii="宋体" w:hAnsi="宋体"/>
          <w:b/>
          <w:color w:val="auto"/>
          <w:sz w:val="30"/>
          <w:szCs w:val="30"/>
        </w:rPr>
        <w:t>.商务条款偏离表</w:t>
      </w:r>
    </w:p>
    <w:p w14:paraId="1710310A">
      <w:pPr>
        <w:widowControl/>
        <w:spacing w:line="400" w:lineRule="exact"/>
        <w:ind w:firstLine="723" w:firstLineChars="200"/>
        <w:jc w:val="center"/>
        <w:rPr>
          <w:rFonts w:ascii="宋体" w:hAnsi="宋体" w:cs="宋体"/>
          <w:b/>
          <w:color w:val="auto"/>
          <w:kern w:val="0"/>
          <w:sz w:val="36"/>
          <w:szCs w:val="28"/>
        </w:rPr>
      </w:pPr>
    </w:p>
    <w:tbl>
      <w:tblPr>
        <w:tblStyle w:val="22"/>
        <w:tblW w:w="916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643"/>
        <w:gridCol w:w="2268"/>
        <w:gridCol w:w="2409"/>
        <w:gridCol w:w="1046"/>
      </w:tblGrid>
      <w:tr w14:paraId="5898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14:paraId="6C1EE06B">
            <w:pPr>
              <w:widowControl/>
              <w:jc w:val="left"/>
              <w:rPr>
                <w:rFonts w:ascii="宋体" w:hAnsi="宋体" w:cs="宋体"/>
                <w:color w:val="auto"/>
                <w:kern w:val="0"/>
                <w:sz w:val="24"/>
              </w:rPr>
            </w:pPr>
            <w:r>
              <w:rPr>
                <w:rFonts w:hint="eastAsia" w:ascii="宋体" w:hAnsi="宋体" w:cs="宋体"/>
                <w:color w:val="auto"/>
                <w:kern w:val="0"/>
                <w:sz w:val="24"/>
              </w:rPr>
              <w:t>序号</w:t>
            </w:r>
          </w:p>
        </w:tc>
        <w:tc>
          <w:tcPr>
            <w:tcW w:w="2643" w:type="dxa"/>
            <w:tcBorders>
              <w:top w:val="single" w:color="auto" w:sz="4" w:space="0"/>
              <w:left w:val="single" w:color="auto" w:sz="4" w:space="0"/>
              <w:bottom w:val="single" w:color="auto" w:sz="4" w:space="0"/>
              <w:right w:val="single" w:color="auto" w:sz="4" w:space="0"/>
            </w:tcBorders>
            <w:noWrap w:val="0"/>
            <w:vAlign w:val="center"/>
          </w:tcPr>
          <w:p w14:paraId="052D1E46">
            <w:pPr>
              <w:widowControl/>
              <w:jc w:val="left"/>
              <w:rPr>
                <w:rFonts w:ascii="宋体" w:hAnsi="宋体" w:cs="宋体"/>
                <w:color w:val="auto"/>
                <w:kern w:val="0"/>
                <w:sz w:val="24"/>
              </w:rPr>
            </w:pPr>
            <w:r>
              <w:rPr>
                <w:rFonts w:hint="eastAsia" w:ascii="宋体" w:hAnsi="宋体" w:cs="宋体"/>
                <w:color w:val="auto"/>
                <w:kern w:val="0"/>
                <w:sz w:val="24"/>
              </w:rPr>
              <w:t>招标文件页码及条目号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4149E7C">
            <w:pPr>
              <w:widowControl/>
              <w:jc w:val="left"/>
              <w:rPr>
                <w:rFonts w:ascii="宋体" w:hAnsi="宋体" w:cs="宋体"/>
                <w:color w:val="auto"/>
                <w:kern w:val="0"/>
                <w:sz w:val="24"/>
              </w:rPr>
            </w:pPr>
            <w:r>
              <w:rPr>
                <w:rFonts w:hint="eastAsia" w:ascii="宋体" w:hAnsi="宋体" w:cs="宋体"/>
                <w:color w:val="auto"/>
                <w:kern w:val="0"/>
                <w:sz w:val="24"/>
              </w:rPr>
              <w:t>招标文件商务条款</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622B0A0">
            <w:pPr>
              <w:widowControl/>
              <w:jc w:val="left"/>
              <w:rPr>
                <w:rFonts w:ascii="宋体" w:hAnsi="宋体" w:cs="宋体"/>
                <w:color w:val="auto"/>
                <w:kern w:val="0"/>
                <w:sz w:val="24"/>
              </w:rPr>
            </w:pPr>
            <w:r>
              <w:rPr>
                <w:rFonts w:hint="eastAsia" w:ascii="宋体" w:hAnsi="宋体" w:cs="宋体"/>
                <w:color w:val="auto"/>
                <w:kern w:val="0"/>
                <w:sz w:val="24"/>
              </w:rPr>
              <w:t>投标文件商务条款</w:t>
            </w:r>
          </w:p>
        </w:tc>
        <w:tc>
          <w:tcPr>
            <w:tcW w:w="1046" w:type="dxa"/>
            <w:tcBorders>
              <w:top w:val="single" w:color="auto" w:sz="4" w:space="0"/>
              <w:left w:val="single" w:color="auto" w:sz="4" w:space="0"/>
              <w:bottom w:val="single" w:color="auto" w:sz="4" w:space="0"/>
              <w:right w:val="single" w:color="auto" w:sz="4" w:space="0"/>
            </w:tcBorders>
            <w:noWrap w:val="0"/>
            <w:vAlign w:val="center"/>
          </w:tcPr>
          <w:p w14:paraId="45CD2095">
            <w:pPr>
              <w:widowControl/>
              <w:jc w:val="left"/>
              <w:rPr>
                <w:rFonts w:ascii="宋体" w:hAnsi="宋体" w:cs="宋体"/>
                <w:color w:val="auto"/>
                <w:kern w:val="0"/>
                <w:sz w:val="24"/>
              </w:rPr>
            </w:pPr>
            <w:r>
              <w:rPr>
                <w:rFonts w:hint="eastAsia" w:ascii="宋体" w:hAnsi="宋体" w:cs="宋体"/>
                <w:color w:val="auto"/>
                <w:kern w:val="0"/>
                <w:sz w:val="24"/>
              </w:rPr>
              <w:t>说明</w:t>
            </w:r>
          </w:p>
        </w:tc>
      </w:tr>
      <w:tr w14:paraId="07E8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09411310">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06FF9ACE">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00A0422F">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6AF5E1AC">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0F11F492">
            <w:pPr>
              <w:widowControl/>
              <w:jc w:val="left"/>
              <w:rPr>
                <w:rFonts w:ascii="宋体" w:hAnsi="宋体" w:cs="宋体"/>
                <w:color w:val="auto"/>
                <w:kern w:val="0"/>
                <w:sz w:val="24"/>
              </w:rPr>
            </w:pPr>
            <w:r>
              <w:rPr>
                <w:rFonts w:hint="eastAsia" w:ascii="宋体" w:hAnsi="宋体" w:cs="宋体"/>
                <w:color w:val="auto"/>
                <w:kern w:val="0"/>
                <w:sz w:val="24"/>
              </w:rPr>
              <w:t> </w:t>
            </w:r>
          </w:p>
        </w:tc>
      </w:tr>
      <w:tr w14:paraId="1EAF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01F31431">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76F158EB">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2FBDFF51">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74FB5C5F">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2A8181DD">
            <w:pPr>
              <w:widowControl/>
              <w:jc w:val="left"/>
              <w:rPr>
                <w:rFonts w:ascii="宋体" w:hAnsi="宋体" w:cs="宋体"/>
                <w:color w:val="auto"/>
                <w:kern w:val="0"/>
                <w:sz w:val="24"/>
              </w:rPr>
            </w:pPr>
            <w:r>
              <w:rPr>
                <w:rFonts w:hint="eastAsia" w:ascii="宋体" w:hAnsi="宋体" w:cs="宋体"/>
                <w:color w:val="auto"/>
                <w:kern w:val="0"/>
                <w:sz w:val="24"/>
              </w:rPr>
              <w:t> </w:t>
            </w:r>
          </w:p>
        </w:tc>
      </w:tr>
      <w:tr w14:paraId="7E27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0613FA31">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6415E144">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3064E8DF">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55A5F902">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17DFE292">
            <w:pPr>
              <w:widowControl/>
              <w:jc w:val="left"/>
              <w:rPr>
                <w:rFonts w:ascii="宋体" w:hAnsi="宋体" w:cs="宋体"/>
                <w:color w:val="auto"/>
                <w:kern w:val="0"/>
                <w:sz w:val="24"/>
              </w:rPr>
            </w:pPr>
            <w:r>
              <w:rPr>
                <w:rFonts w:hint="eastAsia" w:ascii="宋体" w:hAnsi="宋体" w:cs="宋体"/>
                <w:color w:val="auto"/>
                <w:kern w:val="0"/>
                <w:sz w:val="24"/>
              </w:rPr>
              <w:t> </w:t>
            </w:r>
          </w:p>
        </w:tc>
      </w:tr>
      <w:tr w14:paraId="242C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07144C95">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6957D470">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58CE020F">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32951F23">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4AEE09CF">
            <w:pPr>
              <w:widowControl/>
              <w:jc w:val="left"/>
              <w:rPr>
                <w:rFonts w:ascii="宋体" w:hAnsi="宋体" w:cs="宋体"/>
                <w:color w:val="auto"/>
                <w:kern w:val="0"/>
                <w:sz w:val="24"/>
              </w:rPr>
            </w:pPr>
            <w:r>
              <w:rPr>
                <w:rFonts w:hint="eastAsia" w:ascii="宋体" w:hAnsi="宋体" w:cs="宋体"/>
                <w:color w:val="auto"/>
                <w:kern w:val="0"/>
                <w:sz w:val="24"/>
              </w:rPr>
              <w:t> </w:t>
            </w:r>
          </w:p>
        </w:tc>
      </w:tr>
      <w:tr w14:paraId="0599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72D90319">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0D095BFB">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24ABF51F">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4879ADA1">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0EF99396">
            <w:pPr>
              <w:widowControl/>
              <w:jc w:val="left"/>
              <w:rPr>
                <w:rFonts w:ascii="宋体" w:hAnsi="宋体" w:cs="宋体"/>
                <w:color w:val="auto"/>
                <w:kern w:val="0"/>
                <w:sz w:val="24"/>
              </w:rPr>
            </w:pPr>
            <w:r>
              <w:rPr>
                <w:rFonts w:hint="eastAsia" w:ascii="宋体" w:hAnsi="宋体" w:cs="宋体"/>
                <w:color w:val="auto"/>
                <w:kern w:val="0"/>
                <w:sz w:val="24"/>
              </w:rPr>
              <w:t> </w:t>
            </w:r>
          </w:p>
        </w:tc>
      </w:tr>
      <w:tr w14:paraId="2D9F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17FE954B">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040A2269">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D4B0E43">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0B0EA03B">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7183B553">
            <w:pPr>
              <w:widowControl/>
              <w:jc w:val="left"/>
              <w:rPr>
                <w:rFonts w:ascii="宋体" w:hAnsi="宋体" w:cs="宋体"/>
                <w:color w:val="auto"/>
                <w:kern w:val="0"/>
                <w:sz w:val="24"/>
              </w:rPr>
            </w:pPr>
            <w:r>
              <w:rPr>
                <w:rFonts w:hint="eastAsia" w:ascii="宋体" w:hAnsi="宋体" w:cs="宋体"/>
                <w:color w:val="auto"/>
                <w:kern w:val="0"/>
                <w:sz w:val="24"/>
              </w:rPr>
              <w:t> </w:t>
            </w:r>
          </w:p>
        </w:tc>
      </w:tr>
      <w:tr w14:paraId="3A2C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98" w:type="dxa"/>
            <w:tcBorders>
              <w:top w:val="single" w:color="auto" w:sz="4" w:space="0"/>
              <w:left w:val="single" w:color="auto" w:sz="4" w:space="0"/>
              <w:bottom w:val="single" w:color="auto" w:sz="4" w:space="0"/>
              <w:right w:val="single" w:color="auto" w:sz="4" w:space="0"/>
            </w:tcBorders>
            <w:noWrap w:val="0"/>
            <w:vAlign w:val="top"/>
          </w:tcPr>
          <w:p w14:paraId="298C95A7">
            <w:pPr>
              <w:widowControl/>
              <w:jc w:val="left"/>
              <w:rPr>
                <w:rFonts w:ascii="宋体" w:hAnsi="宋体" w:cs="宋体"/>
                <w:color w:val="auto"/>
                <w:kern w:val="0"/>
                <w:sz w:val="24"/>
              </w:rPr>
            </w:pPr>
            <w:r>
              <w:rPr>
                <w:rFonts w:hint="eastAsia" w:ascii="宋体" w:hAnsi="宋体" w:cs="宋体"/>
                <w:color w:val="auto"/>
                <w:kern w:val="0"/>
                <w:sz w:val="24"/>
              </w:rPr>
              <w:t> </w:t>
            </w:r>
          </w:p>
        </w:tc>
        <w:tc>
          <w:tcPr>
            <w:tcW w:w="2643" w:type="dxa"/>
            <w:tcBorders>
              <w:top w:val="single" w:color="auto" w:sz="4" w:space="0"/>
              <w:left w:val="single" w:color="auto" w:sz="4" w:space="0"/>
              <w:bottom w:val="single" w:color="auto" w:sz="4" w:space="0"/>
              <w:right w:val="single" w:color="auto" w:sz="4" w:space="0"/>
            </w:tcBorders>
            <w:noWrap w:val="0"/>
            <w:vAlign w:val="top"/>
          </w:tcPr>
          <w:p w14:paraId="5BFB19E1">
            <w:pPr>
              <w:widowControl/>
              <w:jc w:val="left"/>
              <w:rPr>
                <w:rFonts w:ascii="宋体" w:hAnsi="宋体" w:cs="宋体"/>
                <w:color w:val="auto"/>
                <w:kern w:val="0"/>
                <w:sz w:val="24"/>
              </w:rPr>
            </w:pPr>
            <w:r>
              <w:rPr>
                <w:rFonts w:hint="eastAsia" w:ascii="宋体" w:hAnsi="宋体" w:cs="宋体"/>
                <w:color w:val="auto"/>
                <w:kern w:val="0"/>
                <w:sz w:val="24"/>
              </w:rPr>
              <w:t> </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63DE8780">
            <w:pPr>
              <w:widowControl/>
              <w:jc w:val="left"/>
              <w:rPr>
                <w:rFonts w:ascii="宋体" w:hAnsi="宋体" w:cs="宋体"/>
                <w:color w:val="auto"/>
                <w:kern w:val="0"/>
                <w:sz w:val="24"/>
              </w:rPr>
            </w:pPr>
            <w:r>
              <w:rPr>
                <w:rFonts w:hint="eastAsia" w:ascii="宋体" w:hAnsi="宋体" w:cs="宋体"/>
                <w:color w:val="auto"/>
                <w:kern w:val="0"/>
                <w:sz w:val="24"/>
              </w:rPr>
              <w:t> </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3B46D9DB">
            <w:pPr>
              <w:widowControl/>
              <w:jc w:val="left"/>
              <w:rPr>
                <w:rFonts w:ascii="宋体" w:hAnsi="宋体" w:cs="宋体"/>
                <w:color w:val="auto"/>
                <w:kern w:val="0"/>
                <w:sz w:val="24"/>
              </w:rPr>
            </w:pPr>
            <w:r>
              <w:rPr>
                <w:rFonts w:hint="eastAsia" w:ascii="宋体" w:hAnsi="宋体" w:cs="宋体"/>
                <w:color w:val="auto"/>
                <w:kern w:val="0"/>
                <w:sz w:val="24"/>
              </w:rPr>
              <w:t> </w:t>
            </w:r>
          </w:p>
        </w:tc>
        <w:tc>
          <w:tcPr>
            <w:tcW w:w="1046" w:type="dxa"/>
            <w:tcBorders>
              <w:top w:val="single" w:color="auto" w:sz="4" w:space="0"/>
              <w:left w:val="single" w:color="auto" w:sz="4" w:space="0"/>
              <w:bottom w:val="single" w:color="auto" w:sz="4" w:space="0"/>
              <w:right w:val="single" w:color="auto" w:sz="4" w:space="0"/>
            </w:tcBorders>
            <w:noWrap w:val="0"/>
            <w:vAlign w:val="top"/>
          </w:tcPr>
          <w:p w14:paraId="6FB1C8F1">
            <w:pPr>
              <w:widowControl/>
              <w:jc w:val="left"/>
              <w:rPr>
                <w:rFonts w:ascii="宋体" w:hAnsi="宋体" w:cs="宋体"/>
                <w:color w:val="auto"/>
                <w:kern w:val="0"/>
                <w:sz w:val="24"/>
              </w:rPr>
            </w:pPr>
            <w:r>
              <w:rPr>
                <w:rFonts w:hint="eastAsia" w:ascii="宋体" w:hAnsi="宋体" w:cs="宋体"/>
                <w:color w:val="auto"/>
                <w:kern w:val="0"/>
                <w:sz w:val="24"/>
              </w:rPr>
              <w:t> </w:t>
            </w:r>
          </w:p>
        </w:tc>
      </w:tr>
    </w:tbl>
    <w:p w14:paraId="21F311AB">
      <w:pPr>
        <w:widowControl/>
        <w:spacing w:line="400" w:lineRule="exact"/>
        <w:ind w:firstLine="480" w:firstLineChars="200"/>
        <w:rPr>
          <w:rFonts w:ascii="宋体" w:hAnsi="宋体" w:cs="宋体"/>
          <w:bCs/>
          <w:color w:val="auto"/>
          <w:kern w:val="0"/>
          <w:sz w:val="24"/>
        </w:rPr>
      </w:pPr>
    </w:p>
    <w:p w14:paraId="109DA267">
      <w:pPr>
        <w:widowControl/>
        <w:spacing w:line="400" w:lineRule="exact"/>
        <w:ind w:firstLine="482" w:firstLineChars="200"/>
        <w:jc w:val="left"/>
        <w:rPr>
          <w:rFonts w:ascii="宋体" w:hAnsi="宋体" w:cs="宋体"/>
          <w:bCs/>
          <w:color w:val="auto"/>
          <w:kern w:val="0"/>
          <w:sz w:val="24"/>
        </w:rPr>
      </w:pPr>
      <w:r>
        <w:rPr>
          <w:rFonts w:hint="eastAsia" w:hAnsi="宋体" w:cs="宋体"/>
          <w:b/>
          <w:color w:val="auto"/>
          <w:sz w:val="24"/>
        </w:rPr>
        <w:t>注：1.如无偏差，供应商不需要填表，但应声明：“本投标文件完全响应采购招标文件所有条款的要求，无偏差。”</w:t>
      </w:r>
    </w:p>
    <w:p w14:paraId="770B79EC">
      <w:pPr>
        <w:widowControl/>
        <w:spacing w:line="400" w:lineRule="exact"/>
        <w:ind w:firstLine="480" w:firstLineChars="200"/>
        <w:jc w:val="left"/>
        <w:rPr>
          <w:rFonts w:ascii="宋体" w:hAnsi="宋体" w:cs="宋体"/>
          <w:bCs/>
          <w:color w:val="auto"/>
          <w:kern w:val="0"/>
          <w:sz w:val="24"/>
        </w:rPr>
      </w:pPr>
    </w:p>
    <w:p w14:paraId="1019D869">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投标供应商名称：（</w:t>
      </w:r>
      <w:r>
        <w:rPr>
          <w:rFonts w:hint="eastAsia" w:ascii="宋体" w:hAnsi="宋体" w:cs="宋体"/>
          <w:color w:val="auto"/>
          <w:sz w:val="24"/>
        </w:rPr>
        <w:t>加盖电子公章</w:t>
      </w:r>
      <w:r>
        <w:rPr>
          <w:rFonts w:hint="eastAsia" w:ascii="宋体" w:hAnsi="宋体" w:cs="宋体"/>
          <w:color w:val="auto"/>
          <w:kern w:val="0"/>
          <w:sz w:val="24"/>
        </w:rPr>
        <w:t>）</w:t>
      </w:r>
    </w:p>
    <w:p w14:paraId="572033F0">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104220C4">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法定代表人或授权代表人（电子签名/签章）：</w:t>
      </w:r>
    </w:p>
    <w:p w14:paraId="59BFC3A1">
      <w:pPr>
        <w:widowControl/>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 </w:t>
      </w:r>
    </w:p>
    <w:p w14:paraId="6EF09673">
      <w:pPr>
        <w:widowControl/>
        <w:spacing w:line="4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投标日期：</w:t>
      </w:r>
    </w:p>
    <w:p w14:paraId="5DB25217">
      <w:pPr>
        <w:pStyle w:val="36"/>
        <w:rPr>
          <w:rFonts w:hint="eastAsia" w:ascii="宋体" w:hAnsi="宋体" w:cs="宋体"/>
          <w:color w:val="auto"/>
          <w:kern w:val="0"/>
          <w:sz w:val="24"/>
        </w:rPr>
      </w:pPr>
    </w:p>
    <w:p w14:paraId="4854E97D">
      <w:pPr>
        <w:pStyle w:val="36"/>
        <w:rPr>
          <w:rFonts w:hint="eastAsia" w:ascii="宋体" w:hAnsi="宋体" w:cs="宋体"/>
          <w:color w:val="auto"/>
          <w:kern w:val="0"/>
          <w:sz w:val="24"/>
        </w:rPr>
      </w:pPr>
    </w:p>
    <w:p w14:paraId="0A9AFF68">
      <w:pPr>
        <w:pStyle w:val="36"/>
        <w:rPr>
          <w:rFonts w:hint="eastAsia" w:ascii="宋体" w:hAnsi="宋体" w:cs="宋体"/>
          <w:color w:val="auto"/>
          <w:kern w:val="0"/>
          <w:sz w:val="24"/>
        </w:rPr>
      </w:pPr>
    </w:p>
    <w:p w14:paraId="21BD3752">
      <w:pPr>
        <w:pStyle w:val="36"/>
        <w:rPr>
          <w:rFonts w:hint="eastAsia" w:ascii="宋体" w:hAnsi="宋体" w:cs="宋体"/>
          <w:color w:val="auto"/>
          <w:kern w:val="0"/>
          <w:sz w:val="24"/>
        </w:rPr>
      </w:pPr>
    </w:p>
    <w:p w14:paraId="79700550">
      <w:pPr>
        <w:pStyle w:val="36"/>
        <w:rPr>
          <w:rFonts w:hint="eastAsia" w:ascii="宋体" w:hAnsi="宋体" w:cs="宋体"/>
          <w:color w:val="auto"/>
          <w:kern w:val="0"/>
          <w:sz w:val="24"/>
        </w:rPr>
      </w:pPr>
    </w:p>
    <w:p w14:paraId="43DD5E99">
      <w:pPr>
        <w:pStyle w:val="36"/>
        <w:rPr>
          <w:rFonts w:hint="eastAsia" w:ascii="宋体" w:hAnsi="宋体" w:cs="宋体"/>
          <w:color w:val="auto"/>
          <w:kern w:val="0"/>
          <w:sz w:val="24"/>
        </w:rPr>
      </w:pPr>
    </w:p>
    <w:p w14:paraId="60B2DE72">
      <w:pPr>
        <w:pStyle w:val="36"/>
        <w:rPr>
          <w:rFonts w:hint="eastAsia" w:ascii="宋体" w:hAnsi="宋体" w:cs="宋体"/>
          <w:color w:val="auto"/>
          <w:kern w:val="0"/>
          <w:sz w:val="24"/>
        </w:rPr>
      </w:pPr>
    </w:p>
    <w:p w14:paraId="2542019F">
      <w:pPr>
        <w:pStyle w:val="36"/>
        <w:rPr>
          <w:rFonts w:hint="eastAsia" w:ascii="宋体" w:hAnsi="宋体" w:cs="宋体"/>
          <w:color w:val="auto"/>
          <w:kern w:val="0"/>
          <w:sz w:val="24"/>
        </w:rPr>
      </w:pPr>
    </w:p>
    <w:p w14:paraId="3D695AE0">
      <w:pPr>
        <w:pStyle w:val="36"/>
        <w:rPr>
          <w:rFonts w:hint="eastAsia" w:ascii="宋体" w:hAnsi="宋体" w:cs="宋体"/>
          <w:color w:val="auto"/>
          <w:kern w:val="0"/>
          <w:sz w:val="24"/>
        </w:rPr>
      </w:pPr>
    </w:p>
    <w:p w14:paraId="53064F6E">
      <w:pPr>
        <w:pStyle w:val="36"/>
        <w:rPr>
          <w:rFonts w:hint="eastAsia" w:ascii="宋体" w:hAnsi="宋体" w:cs="宋体"/>
          <w:color w:val="auto"/>
          <w:kern w:val="0"/>
          <w:sz w:val="24"/>
        </w:rPr>
      </w:pPr>
    </w:p>
    <w:p w14:paraId="1FACC936">
      <w:pPr>
        <w:pStyle w:val="36"/>
        <w:rPr>
          <w:rFonts w:hint="eastAsia" w:ascii="宋体" w:hAnsi="宋体" w:cs="宋体"/>
          <w:color w:val="auto"/>
          <w:kern w:val="0"/>
          <w:sz w:val="24"/>
        </w:rPr>
      </w:pPr>
    </w:p>
    <w:p w14:paraId="014DA9F8">
      <w:pPr>
        <w:pStyle w:val="36"/>
        <w:rPr>
          <w:rFonts w:hint="eastAsia" w:ascii="宋体" w:hAnsi="宋体" w:cs="宋体"/>
          <w:color w:val="auto"/>
          <w:kern w:val="0"/>
          <w:sz w:val="24"/>
        </w:rPr>
      </w:pPr>
    </w:p>
    <w:p w14:paraId="6C6CCBA8">
      <w:pPr>
        <w:pStyle w:val="36"/>
        <w:rPr>
          <w:rFonts w:hint="eastAsia" w:ascii="宋体" w:hAnsi="宋体" w:cs="宋体"/>
          <w:color w:val="auto"/>
          <w:kern w:val="0"/>
          <w:sz w:val="24"/>
        </w:rPr>
      </w:pPr>
    </w:p>
    <w:p w14:paraId="00D53722">
      <w:pPr>
        <w:pStyle w:val="36"/>
        <w:rPr>
          <w:rFonts w:hint="eastAsia" w:ascii="宋体" w:hAnsi="宋体" w:cs="宋体"/>
          <w:color w:val="auto"/>
          <w:kern w:val="0"/>
          <w:sz w:val="24"/>
        </w:rPr>
      </w:pPr>
    </w:p>
    <w:p w14:paraId="7926E75E">
      <w:pPr>
        <w:pStyle w:val="36"/>
        <w:rPr>
          <w:rFonts w:hint="eastAsia" w:ascii="宋体" w:hAnsi="宋体" w:cs="宋体"/>
          <w:color w:val="auto"/>
          <w:kern w:val="0"/>
          <w:sz w:val="24"/>
        </w:rPr>
      </w:pPr>
    </w:p>
    <w:p w14:paraId="526113EA">
      <w:pPr>
        <w:pStyle w:val="36"/>
        <w:rPr>
          <w:rFonts w:hint="eastAsia" w:ascii="宋体" w:hAnsi="宋体" w:cs="宋体"/>
          <w:color w:val="auto"/>
          <w:kern w:val="0"/>
          <w:sz w:val="24"/>
        </w:rPr>
      </w:pPr>
    </w:p>
    <w:p w14:paraId="1463E32C">
      <w:pPr>
        <w:pStyle w:val="36"/>
        <w:rPr>
          <w:rFonts w:hint="eastAsia" w:ascii="宋体" w:hAnsi="宋体" w:cs="宋体"/>
          <w:color w:val="auto"/>
          <w:kern w:val="0"/>
          <w:sz w:val="24"/>
        </w:rPr>
      </w:pPr>
    </w:p>
    <w:p w14:paraId="24B6A2A5">
      <w:pPr>
        <w:spacing w:line="500" w:lineRule="exact"/>
        <w:jc w:val="both"/>
        <w:rPr>
          <w:rFonts w:hint="eastAsia" w:ascii="宋体" w:hAnsi="宋体" w:eastAsia="宋体" w:cs="Times New Roman"/>
          <w:b/>
          <w:bCs/>
          <w:color w:val="auto"/>
          <w:sz w:val="32"/>
          <w:szCs w:val="32"/>
        </w:rPr>
      </w:pPr>
      <w:bookmarkStart w:id="126" w:name="_Toc626"/>
      <w:r>
        <w:rPr>
          <w:rFonts w:hint="eastAsia" w:ascii="宋体" w:hAnsi="宋体" w:eastAsia="宋体" w:cs="Times New Roman"/>
          <w:b/>
          <w:bCs/>
          <w:color w:val="auto"/>
          <w:sz w:val="32"/>
          <w:szCs w:val="32"/>
        </w:rPr>
        <w:t>三、</w:t>
      </w:r>
      <w:r>
        <w:rPr>
          <w:rFonts w:hint="eastAsia" w:ascii="宋体" w:hAnsi="宋体" w:eastAsia="宋体" w:cs="Times New Roman"/>
          <w:b/>
          <w:bCs/>
          <w:color w:val="auto"/>
          <w:sz w:val="32"/>
          <w:szCs w:val="32"/>
          <w:lang w:val="en-US" w:eastAsia="zh-CN"/>
        </w:rPr>
        <w:t>商务部分、</w:t>
      </w:r>
      <w:r>
        <w:rPr>
          <w:rFonts w:hint="eastAsia" w:ascii="宋体" w:hAnsi="宋体" w:eastAsia="宋体" w:cs="Times New Roman"/>
          <w:b/>
          <w:bCs/>
          <w:color w:val="auto"/>
          <w:sz w:val="32"/>
          <w:szCs w:val="32"/>
        </w:rPr>
        <w:t>技术部分</w:t>
      </w:r>
      <w:bookmarkEnd w:id="126"/>
    </w:p>
    <w:p w14:paraId="463B7E08">
      <w:pPr>
        <w:spacing w:line="360" w:lineRule="auto"/>
        <w:jc w:val="center"/>
        <w:rPr>
          <w:rFonts w:hint="eastAsia" w:ascii="宋体" w:hAnsi="宋体" w:eastAsia="宋体" w:cs="Times New Roman"/>
          <w:b/>
          <w:color w:val="auto"/>
          <w:sz w:val="30"/>
          <w:szCs w:val="30"/>
          <w:lang w:val="en-US" w:eastAsia="zh-CN"/>
        </w:rPr>
      </w:pPr>
      <w:r>
        <w:rPr>
          <w:rFonts w:hint="eastAsia" w:ascii="宋体" w:hAnsi="宋体" w:eastAsia="宋体" w:cs="Times New Roman"/>
          <w:b/>
          <w:color w:val="auto"/>
          <w:sz w:val="30"/>
          <w:szCs w:val="30"/>
          <w:lang w:val="en-US" w:eastAsia="zh-CN"/>
        </w:rPr>
        <w:t>1.投标产品的技术参数</w:t>
      </w:r>
    </w:p>
    <w:p w14:paraId="6EFF9A0C">
      <w:pPr>
        <w:spacing w:line="360" w:lineRule="auto"/>
        <w:jc w:val="center"/>
        <w:rPr>
          <w:rFonts w:hint="default" w:ascii="宋体" w:hAnsi="宋体" w:eastAsia="宋体" w:cs="Times New Roman"/>
          <w:b/>
          <w:color w:val="auto"/>
          <w:sz w:val="30"/>
          <w:szCs w:val="30"/>
          <w:lang w:val="en-US" w:eastAsia="zh-CN"/>
        </w:rPr>
      </w:pPr>
      <w:r>
        <w:rPr>
          <w:rFonts w:hint="eastAsia" w:ascii="宋体" w:hAnsi="宋体" w:eastAsia="宋体" w:cs="Times New Roman"/>
          <w:b/>
          <w:color w:val="auto"/>
          <w:sz w:val="30"/>
          <w:szCs w:val="30"/>
          <w:lang w:val="en-US" w:eastAsia="zh-CN"/>
        </w:rPr>
        <w:t>格式自拟</w:t>
      </w:r>
    </w:p>
    <w:p w14:paraId="34568B80">
      <w:pPr>
        <w:spacing w:line="360" w:lineRule="auto"/>
        <w:jc w:val="center"/>
        <w:rPr>
          <w:rFonts w:hint="eastAsia" w:ascii="宋体" w:hAnsi="宋体" w:eastAsia="宋体" w:cs="Times New Roman"/>
          <w:b/>
          <w:color w:val="auto"/>
          <w:sz w:val="30"/>
          <w:szCs w:val="30"/>
          <w:lang w:val="en-US" w:eastAsia="zh-CN"/>
        </w:rPr>
      </w:pPr>
    </w:p>
    <w:p w14:paraId="09266280">
      <w:pPr>
        <w:spacing w:line="360" w:lineRule="auto"/>
        <w:jc w:val="center"/>
        <w:rPr>
          <w:rFonts w:hint="eastAsia" w:ascii="宋体" w:hAnsi="宋体" w:eastAsia="宋体" w:cs="Times New Roman"/>
          <w:b/>
          <w:color w:val="auto"/>
          <w:sz w:val="30"/>
          <w:szCs w:val="30"/>
          <w:lang w:val="en-US" w:eastAsia="zh-CN"/>
        </w:rPr>
      </w:pPr>
      <w:r>
        <w:rPr>
          <w:rFonts w:hint="eastAsia" w:ascii="宋体" w:hAnsi="宋体" w:eastAsia="宋体" w:cs="Times New Roman"/>
          <w:b/>
          <w:color w:val="auto"/>
          <w:sz w:val="30"/>
          <w:szCs w:val="30"/>
          <w:lang w:val="en-US" w:eastAsia="zh-CN"/>
        </w:rPr>
        <w:t>2.项目实施方案</w:t>
      </w:r>
    </w:p>
    <w:p w14:paraId="5481B5B2">
      <w:pPr>
        <w:spacing w:line="360" w:lineRule="auto"/>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格式自拟</w:t>
      </w:r>
    </w:p>
    <w:p w14:paraId="283B6BBA">
      <w:pPr>
        <w:pStyle w:val="36"/>
        <w:rPr>
          <w:rFonts w:hint="eastAsia" w:ascii="宋体" w:hAnsi="宋体" w:eastAsia="宋体" w:cs="Times New Roman"/>
          <w:b/>
          <w:color w:val="auto"/>
          <w:sz w:val="30"/>
          <w:szCs w:val="30"/>
        </w:rPr>
      </w:pPr>
    </w:p>
    <w:p w14:paraId="2DCE2DC0">
      <w:pPr>
        <w:spacing w:line="360" w:lineRule="auto"/>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lang w:val="en-US" w:eastAsia="zh-CN"/>
        </w:rPr>
        <w:t>3.</w:t>
      </w:r>
      <w:r>
        <w:rPr>
          <w:rFonts w:hint="eastAsia" w:ascii="宋体" w:hAnsi="宋体" w:eastAsia="宋体" w:cs="Times New Roman"/>
          <w:b/>
          <w:color w:val="auto"/>
          <w:sz w:val="30"/>
          <w:szCs w:val="30"/>
        </w:rPr>
        <w:t>售后服务承诺</w:t>
      </w:r>
    </w:p>
    <w:p w14:paraId="689B157A">
      <w:pPr>
        <w:pStyle w:val="36"/>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格式自拟</w:t>
      </w:r>
    </w:p>
    <w:p w14:paraId="7719A720">
      <w:pPr>
        <w:pStyle w:val="36"/>
        <w:jc w:val="center"/>
        <w:rPr>
          <w:rFonts w:hint="eastAsia" w:ascii="宋体" w:hAnsi="宋体" w:eastAsia="宋体" w:cs="Times New Roman"/>
          <w:b/>
          <w:color w:val="auto"/>
          <w:sz w:val="30"/>
          <w:szCs w:val="30"/>
        </w:rPr>
      </w:pPr>
    </w:p>
    <w:p w14:paraId="5044E361">
      <w:pPr>
        <w:spacing w:line="360" w:lineRule="auto"/>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lang w:val="en-US" w:eastAsia="zh-CN"/>
        </w:rPr>
        <w:t>4.</w:t>
      </w:r>
      <w:r>
        <w:rPr>
          <w:rFonts w:hint="eastAsia" w:ascii="宋体" w:hAnsi="宋体" w:eastAsia="宋体" w:cs="Times New Roman"/>
          <w:b/>
          <w:color w:val="auto"/>
          <w:sz w:val="30"/>
          <w:szCs w:val="30"/>
        </w:rPr>
        <w:t>培训方案</w:t>
      </w:r>
    </w:p>
    <w:p w14:paraId="50F6B573">
      <w:pPr>
        <w:spacing w:line="360" w:lineRule="auto"/>
        <w:ind w:firstLine="361"/>
        <w:jc w:val="center"/>
        <w:rPr>
          <w:rFonts w:hint="eastAsia" w:ascii="宋体" w:hAnsi="宋体" w:eastAsia="宋体" w:cs="Times New Roman"/>
          <w:color w:val="auto"/>
          <w:sz w:val="24"/>
        </w:rPr>
      </w:pPr>
      <w:r>
        <w:rPr>
          <w:rFonts w:hint="eastAsia" w:ascii="宋体" w:hAnsi="宋体" w:eastAsia="宋体" w:cs="Times New Roman"/>
          <w:b/>
          <w:color w:val="auto"/>
          <w:sz w:val="30"/>
          <w:szCs w:val="30"/>
        </w:rPr>
        <w:t>格式自拟</w:t>
      </w:r>
    </w:p>
    <w:p w14:paraId="6710A75F">
      <w:pPr>
        <w:spacing w:line="360" w:lineRule="auto"/>
        <w:ind w:firstLine="361"/>
        <w:jc w:val="left"/>
        <w:rPr>
          <w:rFonts w:hint="eastAsia" w:ascii="宋体" w:hAnsi="宋体" w:eastAsia="宋体" w:cs="Times New Roman"/>
          <w:color w:val="auto"/>
          <w:sz w:val="24"/>
        </w:rPr>
      </w:pPr>
    </w:p>
    <w:p w14:paraId="65D4135D">
      <w:pPr>
        <w:spacing w:line="360" w:lineRule="auto"/>
        <w:ind w:firstLine="361"/>
        <w:jc w:val="left"/>
        <w:rPr>
          <w:rFonts w:hint="eastAsia" w:ascii="宋体" w:hAnsi="宋体" w:eastAsia="宋体" w:cs="Times New Roman"/>
          <w:color w:val="auto"/>
          <w:sz w:val="24"/>
        </w:rPr>
      </w:pPr>
    </w:p>
    <w:p w14:paraId="1447F9ED">
      <w:pPr>
        <w:spacing w:line="360" w:lineRule="auto"/>
        <w:jc w:val="center"/>
        <w:rPr>
          <w:rFonts w:hint="default" w:ascii="宋体" w:hAnsi="宋体" w:eastAsia="宋体" w:cs="Times New Roman"/>
          <w:b/>
          <w:color w:val="auto"/>
          <w:sz w:val="30"/>
          <w:szCs w:val="30"/>
          <w:lang w:val="en-US" w:eastAsia="zh-CN"/>
        </w:rPr>
      </w:pPr>
      <w:r>
        <w:rPr>
          <w:rFonts w:hint="eastAsia" w:ascii="宋体" w:hAnsi="宋体" w:eastAsia="宋体" w:cs="Times New Roman"/>
          <w:b/>
          <w:color w:val="auto"/>
          <w:sz w:val="30"/>
          <w:szCs w:val="30"/>
          <w:lang w:val="en-US" w:eastAsia="zh-CN"/>
        </w:rPr>
        <w:t>5.类似业绩</w:t>
      </w:r>
    </w:p>
    <w:p w14:paraId="5E8549B0">
      <w:pPr>
        <w:pStyle w:val="36"/>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格式自拟</w:t>
      </w:r>
    </w:p>
    <w:p w14:paraId="0A74CA6C">
      <w:pPr>
        <w:pStyle w:val="36"/>
        <w:jc w:val="center"/>
        <w:rPr>
          <w:rFonts w:hint="eastAsia" w:ascii="宋体" w:hAnsi="宋体" w:eastAsia="宋体" w:cs="Times New Roman"/>
          <w:b/>
          <w:color w:val="auto"/>
          <w:sz w:val="30"/>
          <w:szCs w:val="30"/>
        </w:rPr>
      </w:pPr>
    </w:p>
    <w:p w14:paraId="00E03A86">
      <w:pPr>
        <w:spacing w:line="360" w:lineRule="auto"/>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lang w:val="en-US" w:eastAsia="zh-CN"/>
        </w:rPr>
        <w:t>6.</w:t>
      </w:r>
      <w:r>
        <w:rPr>
          <w:rFonts w:hint="eastAsia" w:ascii="宋体" w:hAnsi="宋体" w:eastAsia="宋体" w:cs="Times New Roman"/>
          <w:b/>
          <w:color w:val="auto"/>
          <w:sz w:val="30"/>
          <w:szCs w:val="30"/>
        </w:rPr>
        <w:t>投标人认为重要的其他资料</w:t>
      </w:r>
    </w:p>
    <w:p w14:paraId="18F4F78D">
      <w:pPr>
        <w:pStyle w:val="36"/>
        <w:jc w:val="center"/>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格式自拟</w:t>
      </w:r>
    </w:p>
    <w:sectPr>
      <w:pgSz w:w="11906" w:h="16838"/>
      <w:pgMar w:top="1440" w:right="1803" w:bottom="1440" w:left="1803" w:header="851" w:footer="992" w:gutter="0"/>
      <w:cols w:space="720" w:num="1"/>
      <w:titlePg/>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CCFB">
    <w:pPr>
      <w:pStyle w:val="14"/>
      <w:framePr w:wrap="around" w:vAnchor="text" w:hAnchor="page" w:x="5937" w:y="1"/>
      <w:rPr>
        <w:rStyle w:val="26"/>
      </w:rPr>
    </w:pPr>
    <w:r>
      <w:fldChar w:fldCharType="begin"/>
    </w:r>
    <w:r>
      <w:rPr>
        <w:rStyle w:val="26"/>
      </w:rPr>
      <w:instrText xml:space="preserve">PAGE  </w:instrText>
    </w:r>
    <w:r>
      <w:fldChar w:fldCharType="separate"/>
    </w:r>
    <w:r>
      <w:rPr>
        <w:rStyle w:val="26"/>
      </w:rPr>
      <w:t>47</w:t>
    </w:r>
    <w:r>
      <w:fldChar w:fldCharType="end"/>
    </w:r>
  </w:p>
  <w:p w14:paraId="3F369D1E">
    <w:pPr>
      <w:pStyle w:val="14"/>
      <w:tabs>
        <w:tab w:val="right" w:pos="8820"/>
        <w:tab w:val="clear" w:pos="8306"/>
      </w:tabs>
      <w:ind w:right="-874"/>
      <w:rPr>
        <w:rFonts w:hint="eastAsia" w:eastAsia="宋体"/>
        <w:sz w:val="21"/>
        <w:szCs w:val="21"/>
        <w:lang w:eastAsia="zh-CN"/>
      </w:rPr>
    </w:pPr>
    <w:r>
      <w:rPr>
        <w:rFonts w:hint="eastAsia"/>
      </w:rPr>
      <w:t xml:space="preserve">                                                              </w:t>
    </w:r>
    <w:r>
      <w:rPr>
        <w:rFonts w:hint="eastAsia"/>
        <w:sz w:val="21"/>
        <w:szCs w:val="21"/>
        <w:lang w:eastAsia="zh-CN"/>
      </w:rPr>
      <w:t>云南荣腾工程管理咨询有限公司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14AF4">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F9D7A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9F9D7A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09399">
    <w:pPr>
      <w:pStyle w:val="15"/>
      <w:jc w:val="right"/>
      <w:rPr>
        <w:szCs w:val="21"/>
      </w:rPr>
    </w:pPr>
    <w:r>
      <w:rPr>
        <w:rFonts w:hint="eastAsia" w:ascii="宋体" w:hAnsi="宋体" w:cs="宋体"/>
        <w:bCs/>
        <w:kern w:val="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C9D280">
                          <w:pPr>
                            <w:pStyle w:val="15"/>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14:paraId="76C9D280">
                    <w:pPr>
                      <w:pStyle w:val="15"/>
                      <w:rPr>
                        <w:rFonts w:hint="eastAsia"/>
                      </w:rPr>
                    </w:pPr>
                  </w:p>
                </w:txbxContent>
              </v:textbox>
            </v:shape>
          </w:pict>
        </mc:Fallback>
      </mc:AlternateContent>
    </w:r>
    <w:r>
      <w:rPr>
        <w:rFonts w:hint="eastAsia" w:ascii="宋体" w:hAnsi="宋体" w:cs="宋体"/>
        <w:bCs/>
        <w:kern w:val="0"/>
      </w:rPr>
      <w:t xml:space="preserve">  </w:t>
    </w:r>
    <w:r>
      <w:rPr>
        <w:rFonts w:hint="eastAsia" w:ascii="宋体" w:hAnsi="宋体" w:cs="宋体"/>
        <w:bCs/>
        <w:kern w:val="0"/>
        <w:lang w:eastAsia="zh-CN"/>
      </w:rPr>
      <w:t>采购</w:t>
    </w:r>
    <w:r>
      <w:rPr>
        <w:rFonts w:hint="eastAsia" w:ascii="宋体" w:hAnsi="宋体" w:cs="宋体"/>
        <w:bCs/>
        <w:kern w:val="0"/>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0490E">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26875"/>
    <w:multiLevelType w:val="singleLevel"/>
    <w:tmpl w:val="93626875"/>
    <w:lvl w:ilvl="0" w:tentative="0">
      <w:start w:val="1"/>
      <w:numFmt w:val="decimal"/>
      <w:suff w:val="nothing"/>
      <w:lvlText w:val="（%1）"/>
      <w:lvlJc w:val="left"/>
    </w:lvl>
  </w:abstractNum>
  <w:abstractNum w:abstractNumId="1">
    <w:nsid w:val="9EDF7901"/>
    <w:multiLevelType w:val="singleLevel"/>
    <w:tmpl w:val="9EDF7901"/>
    <w:lvl w:ilvl="0" w:tentative="0">
      <w:start w:val="1"/>
      <w:numFmt w:val="decimal"/>
      <w:suff w:val="nothing"/>
      <w:lvlText w:val="（%1）"/>
      <w:lvlJc w:val="left"/>
    </w:lvl>
  </w:abstractNum>
  <w:abstractNum w:abstractNumId="2">
    <w:nsid w:val="A05929C1"/>
    <w:multiLevelType w:val="singleLevel"/>
    <w:tmpl w:val="A05929C1"/>
    <w:lvl w:ilvl="0" w:tentative="0">
      <w:start w:val="1"/>
      <w:numFmt w:val="chineseCounting"/>
      <w:suff w:val="nothing"/>
      <w:lvlText w:val="%1、"/>
      <w:lvlJc w:val="left"/>
      <w:rPr>
        <w:rFonts w:hint="eastAsia"/>
      </w:r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0000000"/>
    <w:multiLevelType w:val="multilevel"/>
    <w:tmpl w:val="00000000"/>
    <w:lvl w:ilvl="0" w:tentative="0">
      <w:start w:val="1"/>
      <w:numFmt w:val="decimal"/>
      <w:pStyle w:val="55"/>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rPr>
    </w:lvl>
    <w:lvl w:ilvl="2" w:tentative="0">
      <w:start w:val="1"/>
      <w:numFmt w:val="decimal"/>
      <w:lvlText w:val="%1.%2.%3"/>
      <w:lvlJc w:val="left"/>
      <w:pPr>
        <w:tabs>
          <w:tab w:val="left" w:pos="1000"/>
        </w:tabs>
        <w:ind w:left="1000" w:hanging="1000"/>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210EB3B"/>
    <w:multiLevelType w:val="singleLevel"/>
    <w:tmpl w:val="0210EB3B"/>
    <w:lvl w:ilvl="0" w:tentative="0">
      <w:start w:val="2"/>
      <w:numFmt w:val="chineseCounting"/>
      <w:suff w:val="nothing"/>
      <w:lvlText w:val="%1、"/>
      <w:lvlJc w:val="left"/>
      <w:rPr>
        <w:rFonts w:hint="eastAsia"/>
      </w:rPr>
    </w:lvl>
  </w:abstractNum>
  <w:abstractNum w:abstractNumId="11">
    <w:nsid w:val="0728DFAB"/>
    <w:multiLevelType w:val="singleLevel"/>
    <w:tmpl w:val="0728DFAB"/>
    <w:lvl w:ilvl="0" w:tentative="0">
      <w:start w:val="1"/>
      <w:numFmt w:val="decimal"/>
      <w:lvlText w:val="%1."/>
      <w:lvlJc w:val="left"/>
      <w:pPr>
        <w:tabs>
          <w:tab w:val="left" w:pos="312"/>
        </w:tabs>
      </w:pPr>
    </w:lvl>
  </w:abstractNum>
  <w:abstractNum w:abstractNumId="12">
    <w:nsid w:val="6C9061F9"/>
    <w:multiLevelType w:val="singleLevel"/>
    <w:tmpl w:val="6C9061F9"/>
    <w:lvl w:ilvl="0" w:tentative="0">
      <w:start w:val="1"/>
      <w:numFmt w:val="chineseCounting"/>
      <w:suff w:val="nothing"/>
      <w:lvlText w:val="%1、"/>
      <w:lvlJc w:val="left"/>
      <w:rPr>
        <w:rFonts w:hint="eastAsia"/>
      </w:rPr>
    </w:lvl>
  </w:abstractNum>
  <w:abstractNum w:abstractNumId="13">
    <w:nsid w:val="7A0F6431"/>
    <w:multiLevelType w:val="singleLevel"/>
    <w:tmpl w:val="7A0F6431"/>
    <w:lvl w:ilvl="0" w:tentative="0">
      <w:start w:val="1"/>
      <w:numFmt w:val="decimal"/>
      <w:suff w:val="space"/>
      <w:lvlText w:val="%1."/>
      <w:lvlJc w:val="left"/>
    </w:lvl>
  </w:abstractNum>
  <w:num w:numId="1">
    <w:abstractNumId w:val="9"/>
  </w:num>
  <w:num w:numId="2">
    <w:abstractNumId w:val="10"/>
  </w:num>
  <w:num w:numId="3">
    <w:abstractNumId w:val="0"/>
  </w:num>
  <w:num w:numId="4">
    <w:abstractNumId w:val="1"/>
  </w:num>
  <w:num w:numId="5">
    <w:abstractNumId w:val="2"/>
  </w:num>
  <w:num w:numId="6">
    <w:abstractNumId w:val="12"/>
  </w:num>
  <w:num w:numId="7">
    <w:abstractNumId w:val="11"/>
  </w:num>
  <w:num w:numId="8">
    <w:abstractNumId w:val="13"/>
  </w:num>
  <w:num w:numId="9">
    <w:abstractNumId w:val="4"/>
  </w:num>
  <w:num w:numId="10">
    <w:abstractNumId w:val="8"/>
  </w:num>
  <w:num w:numId="11">
    <w:abstractNumId w:val="6"/>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0ZWU1YmI0MjlmYzFkNzg3NTNkOTE2MGM5MDhjYjYifQ=="/>
  </w:docVars>
  <w:rsids>
    <w:rsidRoot w:val="007C17FF"/>
    <w:rsid w:val="0000221F"/>
    <w:rsid w:val="00004244"/>
    <w:rsid w:val="000140C9"/>
    <w:rsid w:val="00027838"/>
    <w:rsid w:val="00036D95"/>
    <w:rsid w:val="00045F3D"/>
    <w:rsid w:val="00045FE2"/>
    <w:rsid w:val="00063BFB"/>
    <w:rsid w:val="00065117"/>
    <w:rsid w:val="000712D7"/>
    <w:rsid w:val="00074291"/>
    <w:rsid w:val="00074F3A"/>
    <w:rsid w:val="0008680B"/>
    <w:rsid w:val="000A25FB"/>
    <w:rsid w:val="000A53D3"/>
    <w:rsid w:val="000A72BA"/>
    <w:rsid w:val="000C5D1E"/>
    <w:rsid w:val="000F60A3"/>
    <w:rsid w:val="000F6411"/>
    <w:rsid w:val="000F641A"/>
    <w:rsid w:val="001015E8"/>
    <w:rsid w:val="00102F1B"/>
    <w:rsid w:val="00104794"/>
    <w:rsid w:val="00110468"/>
    <w:rsid w:val="00113A1A"/>
    <w:rsid w:val="001144F4"/>
    <w:rsid w:val="001201EF"/>
    <w:rsid w:val="001235D6"/>
    <w:rsid w:val="00127011"/>
    <w:rsid w:val="001340EF"/>
    <w:rsid w:val="00135816"/>
    <w:rsid w:val="00142B40"/>
    <w:rsid w:val="001434AC"/>
    <w:rsid w:val="00153AF5"/>
    <w:rsid w:val="001718C2"/>
    <w:rsid w:val="00172645"/>
    <w:rsid w:val="001770E5"/>
    <w:rsid w:val="00181CE7"/>
    <w:rsid w:val="001957A0"/>
    <w:rsid w:val="001A3A6E"/>
    <w:rsid w:val="001B4050"/>
    <w:rsid w:val="001B445F"/>
    <w:rsid w:val="001C27D0"/>
    <w:rsid w:val="001E2F90"/>
    <w:rsid w:val="001E6E4D"/>
    <w:rsid w:val="001F3EB4"/>
    <w:rsid w:val="002130AC"/>
    <w:rsid w:val="00233D4F"/>
    <w:rsid w:val="002714E1"/>
    <w:rsid w:val="002743A3"/>
    <w:rsid w:val="0027604F"/>
    <w:rsid w:val="00287177"/>
    <w:rsid w:val="002A3773"/>
    <w:rsid w:val="002C26C5"/>
    <w:rsid w:val="002C6D96"/>
    <w:rsid w:val="002D2207"/>
    <w:rsid w:val="002D48D5"/>
    <w:rsid w:val="002F0742"/>
    <w:rsid w:val="002F21FB"/>
    <w:rsid w:val="002F7BB7"/>
    <w:rsid w:val="0030786B"/>
    <w:rsid w:val="00313752"/>
    <w:rsid w:val="003353F3"/>
    <w:rsid w:val="00335D59"/>
    <w:rsid w:val="00343107"/>
    <w:rsid w:val="00352F7B"/>
    <w:rsid w:val="00366A90"/>
    <w:rsid w:val="00366DE2"/>
    <w:rsid w:val="00367116"/>
    <w:rsid w:val="0037665B"/>
    <w:rsid w:val="00382E31"/>
    <w:rsid w:val="0038545C"/>
    <w:rsid w:val="0039146D"/>
    <w:rsid w:val="003921FC"/>
    <w:rsid w:val="003B132C"/>
    <w:rsid w:val="003B4046"/>
    <w:rsid w:val="003B51D0"/>
    <w:rsid w:val="003C332D"/>
    <w:rsid w:val="003D41DB"/>
    <w:rsid w:val="003E3422"/>
    <w:rsid w:val="003E7E3B"/>
    <w:rsid w:val="003F6BE3"/>
    <w:rsid w:val="003F7893"/>
    <w:rsid w:val="003F7C33"/>
    <w:rsid w:val="00401A02"/>
    <w:rsid w:val="004021CC"/>
    <w:rsid w:val="004169B4"/>
    <w:rsid w:val="00427F64"/>
    <w:rsid w:val="004330DA"/>
    <w:rsid w:val="004333E3"/>
    <w:rsid w:val="0044476A"/>
    <w:rsid w:val="00455769"/>
    <w:rsid w:val="00467B81"/>
    <w:rsid w:val="004700FB"/>
    <w:rsid w:val="004708C4"/>
    <w:rsid w:val="00472433"/>
    <w:rsid w:val="00484818"/>
    <w:rsid w:val="004B175C"/>
    <w:rsid w:val="004B3D48"/>
    <w:rsid w:val="004C1E89"/>
    <w:rsid w:val="00515FC6"/>
    <w:rsid w:val="0053037A"/>
    <w:rsid w:val="005369F3"/>
    <w:rsid w:val="0053768A"/>
    <w:rsid w:val="00550DC1"/>
    <w:rsid w:val="00572AC0"/>
    <w:rsid w:val="00576D92"/>
    <w:rsid w:val="005B48E1"/>
    <w:rsid w:val="005B58EF"/>
    <w:rsid w:val="005B7147"/>
    <w:rsid w:val="005C372F"/>
    <w:rsid w:val="005D7F98"/>
    <w:rsid w:val="00611988"/>
    <w:rsid w:val="006275AD"/>
    <w:rsid w:val="00671EC2"/>
    <w:rsid w:val="00680309"/>
    <w:rsid w:val="006905DE"/>
    <w:rsid w:val="00690BDB"/>
    <w:rsid w:val="006A3CE7"/>
    <w:rsid w:val="006C6141"/>
    <w:rsid w:val="006C7A6E"/>
    <w:rsid w:val="006D09E6"/>
    <w:rsid w:val="006E2C6A"/>
    <w:rsid w:val="006F6493"/>
    <w:rsid w:val="00714738"/>
    <w:rsid w:val="007200A0"/>
    <w:rsid w:val="00723F1C"/>
    <w:rsid w:val="00735483"/>
    <w:rsid w:val="007466A3"/>
    <w:rsid w:val="00755003"/>
    <w:rsid w:val="00755471"/>
    <w:rsid w:val="00760A6B"/>
    <w:rsid w:val="0076758B"/>
    <w:rsid w:val="007741EB"/>
    <w:rsid w:val="00793227"/>
    <w:rsid w:val="00793F13"/>
    <w:rsid w:val="007A0307"/>
    <w:rsid w:val="007A6882"/>
    <w:rsid w:val="007B3D95"/>
    <w:rsid w:val="007B7649"/>
    <w:rsid w:val="007C0F48"/>
    <w:rsid w:val="007C17FF"/>
    <w:rsid w:val="007C3B80"/>
    <w:rsid w:val="007C6490"/>
    <w:rsid w:val="007D6797"/>
    <w:rsid w:val="007E5929"/>
    <w:rsid w:val="008017D7"/>
    <w:rsid w:val="00823450"/>
    <w:rsid w:val="00831E62"/>
    <w:rsid w:val="00862BE0"/>
    <w:rsid w:val="008A4EF6"/>
    <w:rsid w:val="008B49A6"/>
    <w:rsid w:val="008B656E"/>
    <w:rsid w:val="008C5F38"/>
    <w:rsid w:val="008C7726"/>
    <w:rsid w:val="008E65E7"/>
    <w:rsid w:val="008F1059"/>
    <w:rsid w:val="008F1509"/>
    <w:rsid w:val="008F771C"/>
    <w:rsid w:val="0091407B"/>
    <w:rsid w:val="00935465"/>
    <w:rsid w:val="00951295"/>
    <w:rsid w:val="0095199B"/>
    <w:rsid w:val="00962D04"/>
    <w:rsid w:val="0097642F"/>
    <w:rsid w:val="00985562"/>
    <w:rsid w:val="009873E5"/>
    <w:rsid w:val="0099420A"/>
    <w:rsid w:val="00995B4B"/>
    <w:rsid w:val="009B6E96"/>
    <w:rsid w:val="009D6C5B"/>
    <w:rsid w:val="00A15B23"/>
    <w:rsid w:val="00A26862"/>
    <w:rsid w:val="00A35932"/>
    <w:rsid w:val="00A600F8"/>
    <w:rsid w:val="00A7013C"/>
    <w:rsid w:val="00A836A8"/>
    <w:rsid w:val="00A902EF"/>
    <w:rsid w:val="00AB79B7"/>
    <w:rsid w:val="00AC29E1"/>
    <w:rsid w:val="00B009A8"/>
    <w:rsid w:val="00B12185"/>
    <w:rsid w:val="00B21B82"/>
    <w:rsid w:val="00B24108"/>
    <w:rsid w:val="00B3730E"/>
    <w:rsid w:val="00B4159C"/>
    <w:rsid w:val="00B43CCD"/>
    <w:rsid w:val="00B44371"/>
    <w:rsid w:val="00B55372"/>
    <w:rsid w:val="00B6142F"/>
    <w:rsid w:val="00B758C0"/>
    <w:rsid w:val="00B80769"/>
    <w:rsid w:val="00B85FF4"/>
    <w:rsid w:val="00BA2094"/>
    <w:rsid w:val="00BB0DE2"/>
    <w:rsid w:val="00BB7F1E"/>
    <w:rsid w:val="00BC52E2"/>
    <w:rsid w:val="00BC69A5"/>
    <w:rsid w:val="00BD5505"/>
    <w:rsid w:val="00BE12BB"/>
    <w:rsid w:val="00BE4488"/>
    <w:rsid w:val="00BE7E04"/>
    <w:rsid w:val="00BF0EBF"/>
    <w:rsid w:val="00C206D5"/>
    <w:rsid w:val="00C30634"/>
    <w:rsid w:val="00C61A92"/>
    <w:rsid w:val="00C6219D"/>
    <w:rsid w:val="00C741F1"/>
    <w:rsid w:val="00C7483D"/>
    <w:rsid w:val="00C76FB1"/>
    <w:rsid w:val="00CA01D0"/>
    <w:rsid w:val="00CA4F66"/>
    <w:rsid w:val="00CA73E9"/>
    <w:rsid w:val="00CC6145"/>
    <w:rsid w:val="00CD423C"/>
    <w:rsid w:val="00CD683D"/>
    <w:rsid w:val="00CE2953"/>
    <w:rsid w:val="00CE341F"/>
    <w:rsid w:val="00CE5E97"/>
    <w:rsid w:val="00CE626D"/>
    <w:rsid w:val="00CE73CB"/>
    <w:rsid w:val="00CE78A7"/>
    <w:rsid w:val="00CF5FE7"/>
    <w:rsid w:val="00D14D42"/>
    <w:rsid w:val="00D25C08"/>
    <w:rsid w:val="00D260BE"/>
    <w:rsid w:val="00D32FAF"/>
    <w:rsid w:val="00D60A60"/>
    <w:rsid w:val="00D72413"/>
    <w:rsid w:val="00D766FE"/>
    <w:rsid w:val="00D7681D"/>
    <w:rsid w:val="00D816E8"/>
    <w:rsid w:val="00D81B22"/>
    <w:rsid w:val="00D94457"/>
    <w:rsid w:val="00DC7D78"/>
    <w:rsid w:val="00DF0FFE"/>
    <w:rsid w:val="00DF60B9"/>
    <w:rsid w:val="00DF6CF2"/>
    <w:rsid w:val="00E0694B"/>
    <w:rsid w:val="00E12D4C"/>
    <w:rsid w:val="00E206A3"/>
    <w:rsid w:val="00E32171"/>
    <w:rsid w:val="00E351FE"/>
    <w:rsid w:val="00E3692B"/>
    <w:rsid w:val="00E52FBE"/>
    <w:rsid w:val="00E554F9"/>
    <w:rsid w:val="00E674F3"/>
    <w:rsid w:val="00E72371"/>
    <w:rsid w:val="00E77EE3"/>
    <w:rsid w:val="00E9380E"/>
    <w:rsid w:val="00E95B27"/>
    <w:rsid w:val="00EA031F"/>
    <w:rsid w:val="00EB4FB7"/>
    <w:rsid w:val="00EC2E2E"/>
    <w:rsid w:val="00EC78D4"/>
    <w:rsid w:val="00EC7D1C"/>
    <w:rsid w:val="00ED4EB5"/>
    <w:rsid w:val="00F020ED"/>
    <w:rsid w:val="00F02B3B"/>
    <w:rsid w:val="00F1756C"/>
    <w:rsid w:val="00F2708A"/>
    <w:rsid w:val="00F275E6"/>
    <w:rsid w:val="00F46A58"/>
    <w:rsid w:val="00F516D7"/>
    <w:rsid w:val="00F53DC9"/>
    <w:rsid w:val="00F53F81"/>
    <w:rsid w:val="00F638A4"/>
    <w:rsid w:val="00F75153"/>
    <w:rsid w:val="00F8277A"/>
    <w:rsid w:val="00FA29A8"/>
    <w:rsid w:val="00FA3E97"/>
    <w:rsid w:val="00FA7D5C"/>
    <w:rsid w:val="00FD61C2"/>
    <w:rsid w:val="00FD7AFA"/>
    <w:rsid w:val="00FE023E"/>
    <w:rsid w:val="00FE3078"/>
    <w:rsid w:val="011C626C"/>
    <w:rsid w:val="012313A8"/>
    <w:rsid w:val="01585192"/>
    <w:rsid w:val="019D55FE"/>
    <w:rsid w:val="023C62C6"/>
    <w:rsid w:val="025A704C"/>
    <w:rsid w:val="0267526F"/>
    <w:rsid w:val="02E72ADD"/>
    <w:rsid w:val="031511C4"/>
    <w:rsid w:val="042C3DCF"/>
    <w:rsid w:val="04993A41"/>
    <w:rsid w:val="04FB076E"/>
    <w:rsid w:val="05104339"/>
    <w:rsid w:val="055E6E53"/>
    <w:rsid w:val="05807955"/>
    <w:rsid w:val="058F3CAA"/>
    <w:rsid w:val="05DF46C1"/>
    <w:rsid w:val="05E03D0C"/>
    <w:rsid w:val="0601659E"/>
    <w:rsid w:val="06FD057F"/>
    <w:rsid w:val="07487DBA"/>
    <w:rsid w:val="082F4AD6"/>
    <w:rsid w:val="08366B38"/>
    <w:rsid w:val="084D31AF"/>
    <w:rsid w:val="08510EF1"/>
    <w:rsid w:val="08B2517F"/>
    <w:rsid w:val="091821FD"/>
    <w:rsid w:val="092D78AE"/>
    <w:rsid w:val="09383E5F"/>
    <w:rsid w:val="095F3199"/>
    <w:rsid w:val="0A6843EF"/>
    <w:rsid w:val="0AFD1545"/>
    <w:rsid w:val="0B445973"/>
    <w:rsid w:val="0BC05535"/>
    <w:rsid w:val="0C37664F"/>
    <w:rsid w:val="0D474670"/>
    <w:rsid w:val="0D505C1B"/>
    <w:rsid w:val="0D7B7189"/>
    <w:rsid w:val="0D8C6527"/>
    <w:rsid w:val="0E364E11"/>
    <w:rsid w:val="0E4D6000"/>
    <w:rsid w:val="0E4F0FE6"/>
    <w:rsid w:val="0E52151F"/>
    <w:rsid w:val="0E855450"/>
    <w:rsid w:val="0EE1361D"/>
    <w:rsid w:val="0EE947FB"/>
    <w:rsid w:val="0F6A2898"/>
    <w:rsid w:val="0F87169C"/>
    <w:rsid w:val="0FB871E2"/>
    <w:rsid w:val="0FD61CDB"/>
    <w:rsid w:val="101C15B7"/>
    <w:rsid w:val="10E143DF"/>
    <w:rsid w:val="11057AF2"/>
    <w:rsid w:val="112076B2"/>
    <w:rsid w:val="112E1DCF"/>
    <w:rsid w:val="11402C89"/>
    <w:rsid w:val="114333A1"/>
    <w:rsid w:val="11586B05"/>
    <w:rsid w:val="11A55E09"/>
    <w:rsid w:val="11DA3D05"/>
    <w:rsid w:val="121A4EEF"/>
    <w:rsid w:val="122D652B"/>
    <w:rsid w:val="123F000C"/>
    <w:rsid w:val="124675EC"/>
    <w:rsid w:val="129E5DD6"/>
    <w:rsid w:val="12CA1FCB"/>
    <w:rsid w:val="12D9079F"/>
    <w:rsid w:val="12F901BB"/>
    <w:rsid w:val="13CC40C6"/>
    <w:rsid w:val="13F13588"/>
    <w:rsid w:val="146F3F94"/>
    <w:rsid w:val="14D07641"/>
    <w:rsid w:val="14DF1319"/>
    <w:rsid w:val="14FB46BE"/>
    <w:rsid w:val="161D0664"/>
    <w:rsid w:val="171416F8"/>
    <w:rsid w:val="17222DE5"/>
    <w:rsid w:val="175E2CE2"/>
    <w:rsid w:val="17847E8D"/>
    <w:rsid w:val="17854713"/>
    <w:rsid w:val="17A57DE3"/>
    <w:rsid w:val="17AA23CB"/>
    <w:rsid w:val="183459DE"/>
    <w:rsid w:val="18627FD4"/>
    <w:rsid w:val="188E7670"/>
    <w:rsid w:val="189B2DE0"/>
    <w:rsid w:val="18D72D4C"/>
    <w:rsid w:val="19121DAF"/>
    <w:rsid w:val="193D27EE"/>
    <w:rsid w:val="1A2A2549"/>
    <w:rsid w:val="1A670100"/>
    <w:rsid w:val="1AC15A62"/>
    <w:rsid w:val="1ACB4B33"/>
    <w:rsid w:val="1B090078"/>
    <w:rsid w:val="1B34063B"/>
    <w:rsid w:val="1B3C3F46"/>
    <w:rsid w:val="1B6C1CB8"/>
    <w:rsid w:val="1B99253B"/>
    <w:rsid w:val="1C4A5F2B"/>
    <w:rsid w:val="1C782A98"/>
    <w:rsid w:val="1C7A6810"/>
    <w:rsid w:val="1CAA3EEC"/>
    <w:rsid w:val="1CAE2016"/>
    <w:rsid w:val="1CDE4010"/>
    <w:rsid w:val="1CE6527A"/>
    <w:rsid w:val="1D344C11"/>
    <w:rsid w:val="1D515D6F"/>
    <w:rsid w:val="1D5E1FC8"/>
    <w:rsid w:val="1DF24184"/>
    <w:rsid w:val="1E0D5462"/>
    <w:rsid w:val="1E256859"/>
    <w:rsid w:val="1E2B30F8"/>
    <w:rsid w:val="1E56319D"/>
    <w:rsid w:val="1EEC6AF1"/>
    <w:rsid w:val="1F064A37"/>
    <w:rsid w:val="1F305883"/>
    <w:rsid w:val="1F3233D2"/>
    <w:rsid w:val="1F5E41C7"/>
    <w:rsid w:val="1F852630"/>
    <w:rsid w:val="1F89105F"/>
    <w:rsid w:val="20672B29"/>
    <w:rsid w:val="206A6B9C"/>
    <w:rsid w:val="20E52BD1"/>
    <w:rsid w:val="20F15E72"/>
    <w:rsid w:val="21446E52"/>
    <w:rsid w:val="21645399"/>
    <w:rsid w:val="21803F88"/>
    <w:rsid w:val="21822742"/>
    <w:rsid w:val="21D40771"/>
    <w:rsid w:val="21F635FA"/>
    <w:rsid w:val="21FF50C2"/>
    <w:rsid w:val="2205531D"/>
    <w:rsid w:val="22853819"/>
    <w:rsid w:val="228F6446"/>
    <w:rsid w:val="22C205C9"/>
    <w:rsid w:val="22C500B9"/>
    <w:rsid w:val="22DD18A7"/>
    <w:rsid w:val="22E9024C"/>
    <w:rsid w:val="2318643B"/>
    <w:rsid w:val="23201794"/>
    <w:rsid w:val="23636EA1"/>
    <w:rsid w:val="23DF164F"/>
    <w:rsid w:val="23E8163D"/>
    <w:rsid w:val="23F5677C"/>
    <w:rsid w:val="244B45EE"/>
    <w:rsid w:val="244F0582"/>
    <w:rsid w:val="245066C0"/>
    <w:rsid w:val="24992D39"/>
    <w:rsid w:val="24A85EE5"/>
    <w:rsid w:val="24F05F33"/>
    <w:rsid w:val="24FB7DC2"/>
    <w:rsid w:val="2503311B"/>
    <w:rsid w:val="251741DF"/>
    <w:rsid w:val="257D7374"/>
    <w:rsid w:val="260522E7"/>
    <w:rsid w:val="26064932"/>
    <w:rsid w:val="26A63F47"/>
    <w:rsid w:val="26B40B71"/>
    <w:rsid w:val="26DE5BEE"/>
    <w:rsid w:val="273E668C"/>
    <w:rsid w:val="27402404"/>
    <w:rsid w:val="278C7D06"/>
    <w:rsid w:val="27B30E28"/>
    <w:rsid w:val="27EB36B9"/>
    <w:rsid w:val="28AB2CE9"/>
    <w:rsid w:val="28F354D3"/>
    <w:rsid w:val="291A08A2"/>
    <w:rsid w:val="293F6B9B"/>
    <w:rsid w:val="2A187669"/>
    <w:rsid w:val="2B121457"/>
    <w:rsid w:val="2B142EAF"/>
    <w:rsid w:val="2B261C8D"/>
    <w:rsid w:val="2B3E6C5B"/>
    <w:rsid w:val="2B69724D"/>
    <w:rsid w:val="2B903339"/>
    <w:rsid w:val="2BB810A7"/>
    <w:rsid w:val="2C721A09"/>
    <w:rsid w:val="2CAE5A2C"/>
    <w:rsid w:val="2CD0651E"/>
    <w:rsid w:val="2D142369"/>
    <w:rsid w:val="2D1934DC"/>
    <w:rsid w:val="2DFD4BAB"/>
    <w:rsid w:val="2DFE7BE5"/>
    <w:rsid w:val="2E2340FD"/>
    <w:rsid w:val="2E560A84"/>
    <w:rsid w:val="2EFF3B7B"/>
    <w:rsid w:val="300215F7"/>
    <w:rsid w:val="300A1801"/>
    <w:rsid w:val="30327E05"/>
    <w:rsid w:val="30AC75BB"/>
    <w:rsid w:val="30DC4F4C"/>
    <w:rsid w:val="31EC5DFC"/>
    <w:rsid w:val="328533C1"/>
    <w:rsid w:val="32EC51EE"/>
    <w:rsid w:val="32FC7ADC"/>
    <w:rsid w:val="337036AD"/>
    <w:rsid w:val="339176C2"/>
    <w:rsid w:val="341852B9"/>
    <w:rsid w:val="342B2844"/>
    <w:rsid w:val="34BC053F"/>
    <w:rsid w:val="350D601C"/>
    <w:rsid w:val="35352E7D"/>
    <w:rsid w:val="35446E64"/>
    <w:rsid w:val="35741024"/>
    <w:rsid w:val="35A70CD4"/>
    <w:rsid w:val="35B23444"/>
    <w:rsid w:val="35B34D19"/>
    <w:rsid w:val="35E95473"/>
    <w:rsid w:val="3601278A"/>
    <w:rsid w:val="366D33B4"/>
    <w:rsid w:val="37210533"/>
    <w:rsid w:val="3727713D"/>
    <w:rsid w:val="37336301"/>
    <w:rsid w:val="38123949"/>
    <w:rsid w:val="3834566E"/>
    <w:rsid w:val="38426474"/>
    <w:rsid w:val="385B52F0"/>
    <w:rsid w:val="38915088"/>
    <w:rsid w:val="38B72F26"/>
    <w:rsid w:val="38B92917"/>
    <w:rsid w:val="39663F4D"/>
    <w:rsid w:val="39BA1F0D"/>
    <w:rsid w:val="39FC6915"/>
    <w:rsid w:val="39FF6CFC"/>
    <w:rsid w:val="3A0177D1"/>
    <w:rsid w:val="3A06303A"/>
    <w:rsid w:val="3A370C19"/>
    <w:rsid w:val="3A572F7A"/>
    <w:rsid w:val="3A5C6EED"/>
    <w:rsid w:val="3AFD4BF8"/>
    <w:rsid w:val="3B18115D"/>
    <w:rsid w:val="3B1B0D67"/>
    <w:rsid w:val="3B312338"/>
    <w:rsid w:val="3B566923"/>
    <w:rsid w:val="3BF27AEF"/>
    <w:rsid w:val="3CD72A6B"/>
    <w:rsid w:val="3D081716"/>
    <w:rsid w:val="3D58381F"/>
    <w:rsid w:val="3D5B544A"/>
    <w:rsid w:val="3D9045C2"/>
    <w:rsid w:val="3E2D1678"/>
    <w:rsid w:val="3E8B7FB1"/>
    <w:rsid w:val="3E950E30"/>
    <w:rsid w:val="3F0D77CA"/>
    <w:rsid w:val="3F9A222F"/>
    <w:rsid w:val="3FA7706D"/>
    <w:rsid w:val="406B009A"/>
    <w:rsid w:val="40FC716A"/>
    <w:rsid w:val="415E2613"/>
    <w:rsid w:val="417E204F"/>
    <w:rsid w:val="41A16DDD"/>
    <w:rsid w:val="41A73354"/>
    <w:rsid w:val="41D028AB"/>
    <w:rsid w:val="41DF6053"/>
    <w:rsid w:val="41E81277"/>
    <w:rsid w:val="41FB36A0"/>
    <w:rsid w:val="4265596E"/>
    <w:rsid w:val="43192249"/>
    <w:rsid w:val="431D021F"/>
    <w:rsid w:val="44765FFE"/>
    <w:rsid w:val="448D4A83"/>
    <w:rsid w:val="451F3201"/>
    <w:rsid w:val="453E5D7D"/>
    <w:rsid w:val="454E5534"/>
    <w:rsid w:val="45657224"/>
    <w:rsid w:val="458D714C"/>
    <w:rsid w:val="4616106F"/>
    <w:rsid w:val="46584C1D"/>
    <w:rsid w:val="4658768E"/>
    <w:rsid w:val="46920415"/>
    <w:rsid w:val="469D0882"/>
    <w:rsid w:val="46BF2EEE"/>
    <w:rsid w:val="47022E8A"/>
    <w:rsid w:val="475C698F"/>
    <w:rsid w:val="480934B8"/>
    <w:rsid w:val="48194880"/>
    <w:rsid w:val="488E4627"/>
    <w:rsid w:val="492359B6"/>
    <w:rsid w:val="49237297"/>
    <w:rsid w:val="49380D36"/>
    <w:rsid w:val="4947388E"/>
    <w:rsid w:val="4A007AA5"/>
    <w:rsid w:val="4A897A9B"/>
    <w:rsid w:val="4AAF6BA5"/>
    <w:rsid w:val="4AC32C89"/>
    <w:rsid w:val="4B0A4C46"/>
    <w:rsid w:val="4B16705D"/>
    <w:rsid w:val="4B1700C0"/>
    <w:rsid w:val="4B472455"/>
    <w:rsid w:val="4B4F092F"/>
    <w:rsid w:val="4B531036"/>
    <w:rsid w:val="4B6671DC"/>
    <w:rsid w:val="4BB70638"/>
    <w:rsid w:val="4C0513A3"/>
    <w:rsid w:val="4C5D11DF"/>
    <w:rsid w:val="4C7E4CB1"/>
    <w:rsid w:val="4C804ECE"/>
    <w:rsid w:val="4C885B30"/>
    <w:rsid w:val="4C8C7E7A"/>
    <w:rsid w:val="4CDB06BC"/>
    <w:rsid w:val="4CF34406"/>
    <w:rsid w:val="4D292E6F"/>
    <w:rsid w:val="4DC46BDE"/>
    <w:rsid w:val="4DD96F46"/>
    <w:rsid w:val="4E094A4F"/>
    <w:rsid w:val="4E0E4074"/>
    <w:rsid w:val="4E2D1B77"/>
    <w:rsid w:val="4E74636C"/>
    <w:rsid w:val="4E832A53"/>
    <w:rsid w:val="4EC76DE4"/>
    <w:rsid w:val="4EF43951"/>
    <w:rsid w:val="4F31333F"/>
    <w:rsid w:val="4F443F90"/>
    <w:rsid w:val="4F4B2B7E"/>
    <w:rsid w:val="4F832900"/>
    <w:rsid w:val="503E4E84"/>
    <w:rsid w:val="503F639C"/>
    <w:rsid w:val="504D156B"/>
    <w:rsid w:val="507C1E50"/>
    <w:rsid w:val="51131A4D"/>
    <w:rsid w:val="514C537E"/>
    <w:rsid w:val="5151515A"/>
    <w:rsid w:val="516923D4"/>
    <w:rsid w:val="5176689F"/>
    <w:rsid w:val="517D5E7F"/>
    <w:rsid w:val="519311FF"/>
    <w:rsid w:val="52187382"/>
    <w:rsid w:val="52803118"/>
    <w:rsid w:val="52AD62F0"/>
    <w:rsid w:val="52DC2732"/>
    <w:rsid w:val="52E066C6"/>
    <w:rsid w:val="52F91536"/>
    <w:rsid w:val="532540D9"/>
    <w:rsid w:val="532C5467"/>
    <w:rsid w:val="532D11DF"/>
    <w:rsid w:val="5389324D"/>
    <w:rsid w:val="539E2708"/>
    <w:rsid w:val="53D224B3"/>
    <w:rsid w:val="53D901B4"/>
    <w:rsid w:val="545149D4"/>
    <w:rsid w:val="547219D3"/>
    <w:rsid w:val="54B716A8"/>
    <w:rsid w:val="54D933CD"/>
    <w:rsid w:val="556709D9"/>
    <w:rsid w:val="55DF3EA4"/>
    <w:rsid w:val="56486A5C"/>
    <w:rsid w:val="56552F27"/>
    <w:rsid w:val="567E28B0"/>
    <w:rsid w:val="56982E14"/>
    <w:rsid w:val="56AF6ADB"/>
    <w:rsid w:val="573071B5"/>
    <w:rsid w:val="57D51430"/>
    <w:rsid w:val="58535244"/>
    <w:rsid w:val="58550FBC"/>
    <w:rsid w:val="585711D8"/>
    <w:rsid w:val="58C05D2A"/>
    <w:rsid w:val="59060650"/>
    <w:rsid w:val="59BD75B1"/>
    <w:rsid w:val="5A252F56"/>
    <w:rsid w:val="5A81078E"/>
    <w:rsid w:val="5A8F5E9E"/>
    <w:rsid w:val="5AA20705"/>
    <w:rsid w:val="5AB3021C"/>
    <w:rsid w:val="5ACB7C5C"/>
    <w:rsid w:val="5B5405CC"/>
    <w:rsid w:val="5BC84A32"/>
    <w:rsid w:val="5BF31218"/>
    <w:rsid w:val="5BFE4E27"/>
    <w:rsid w:val="5C2849CC"/>
    <w:rsid w:val="5C78796F"/>
    <w:rsid w:val="5CF93F5C"/>
    <w:rsid w:val="5D2D5EF1"/>
    <w:rsid w:val="5D4D73CD"/>
    <w:rsid w:val="5D8772F7"/>
    <w:rsid w:val="5D9271E3"/>
    <w:rsid w:val="5DA70692"/>
    <w:rsid w:val="5DBB0CA0"/>
    <w:rsid w:val="5DD21301"/>
    <w:rsid w:val="5E053485"/>
    <w:rsid w:val="5E282CCF"/>
    <w:rsid w:val="5E2E29DB"/>
    <w:rsid w:val="5E7E7D81"/>
    <w:rsid w:val="5EE96902"/>
    <w:rsid w:val="5EF651FA"/>
    <w:rsid w:val="5F2E2567"/>
    <w:rsid w:val="5F3657B2"/>
    <w:rsid w:val="5F751F44"/>
    <w:rsid w:val="5F787CAE"/>
    <w:rsid w:val="5F872EBA"/>
    <w:rsid w:val="5FBE1B3D"/>
    <w:rsid w:val="5FDD6E43"/>
    <w:rsid w:val="60187559"/>
    <w:rsid w:val="602667F1"/>
    <w:rsid w:val="60360CE9"/>
    <w:rsid w:val="60AE2440"/>
    <w:rsid w:val="614C1EB3"/>
    <w:rsid w:val="61A43D76"/>
    <w:rsid w:val="620D37B9"/>
    <w:rsid w:val="62571DD5"/>
    <w:rsid w:val="625B7B17"/>
    <w:rsid w:val="632B74E9"/>
    <w:rsid w:val="633D0FCB"/>
    <w:rsid w:val="635A15C1"/>
    <w:rsid w:val="63BA6ABF"/>
    <w:rsid w:val="63E51D3D"/>
    <w:rsid w:val="63F1BDA8"/>
    <w:rsid w:val="63FC70D8"/>
    <w:rsid w:val="640306E8"/>
    <w:rsid w:val="646A4041"/>
    <w:rsid w:val="64783A52"/>
    <w:rsid w:val="64AF0DDF"/>
    <w:rsid w:val="64FD3107"/>
    <w:rsid w:val="65842EE1"/>
    <w:rsid w:val="6587503C"/>
    <w:rsid w:val="65AB4911"/>
    <w:rsid w:val="65B65064"/>
    <w:rsid w:val="66257375"/>
    <w:rsid w:val="66521231"/>
    <w:rsid w:val="670F2C7E"/>
    <w:rsid w:val="67543AD8"/>
    <w:rsid w:val="67713939"/>
    <w:rsid w:val="677E1BB2"/>
    <w:rsid w:val="678025FC"/>
    <w:rsid w:val="67A53EAE"/>
    <w:rsid w:val="67FD6F7B"/>
    <w:rsid w:val="67FF7197"/>
    <w:rsid w:val="68016A6B"/>
    <w:rsid w:val="691D346F"/>
    <w:rsid w:val="69D16911"/>
    <w:rsid w:val="6A3F1ACC"/>
    <w:rsid w:val="6AAB7162"/>
    <w:rsid w:val="6AD37EBF"/>
    <w:rsid w:val="6AD77F57"/>
    <w:rsid w:val="6AD8487E"/>
    <w:rsid w:val="6AF40B09"/>
    <w:rsid w:val="6B0D6DD2"/>
    <w:rsid w:val="6B1F68E4"/>
    <w:rsid w:val="6B3C600C"/>
    <w:rsid w:val="6B7B491D"/>
    <w:rsid w:val="6C315445"/>
    <w:rsid w:val="6C8859AD"/>
    <w:rsid w:val="6C9003BD"/>
    <w:rsid w:val="6CAB3449"/>
    <w:rsid w:val="6CBA14D5"/>
    <w:rsid w:val="6CCD70C4"/>
    <w:rsid w:val="6D3B0F1C"/>
    <w:rsid w:val="6D9D6558"/>
    <w:rsid w:val="6E3A1CE8"/>
    <w:rsid w:val="6E4A1A50"/>
    <w:rsid w:val="6E7649C2"/>
    <w:rsid w:val="6EE64C0C"/>
    <w:rsid w:val="6EF1501B"/>
    <w:rsid w:val="6F563B40"/>
    <w:rsid w:val="6F7D2524"/>
    <w:rsid w:val="6F963F3C"/>
    <w:rsid w:val="6FA10CBE"/>
    <w:rsid w:val="701D01BA"/>
    <w:rsid w:val="704F233D"/>
    <w:rsid w:val="70A95EF1"/>
    <w:rsid w:val="70C525FF"/>
    <w:rsid w:val="70FC4273"/>
    <w:rsid w:val="7104661F"/>
    <w:rsid w:val="711D0058"/>
    <w:rsid w:val="714A1482"/>
    <w:rsid w:val="71626EB1"/>
    <w:rsid w:val="717007F6"/>
    <w:rsid w:val="71D2102D"/>
    <w:rsid w:val="7249173A"/>
    <w:rsid w:val="72734A09"/>
    <w:rsid w:val="728C1627"/>
    <w:rsid w:val="729055BB"/>
    <w:rsid w:val="72E15E16"/>
    <w:rsid w:val="731F6617"/>
    <w:rsid w:val="732C6966"/>
    <w:rsid w:val="739A5FC5"/>
    <w:rsid w:val="73AB1CF8"/>
    <w:rsid w:val="73D634A1"/>
    <w:rsid w:val="73E21BD7"/>
    <w:rsid w:val="73FD0E54"/>
    <w:rsid w:val="740F0761"/>
    <w:rsid w:val="740F42BD"/>
    <w:rsid w:val="743E1047"/>
    <w:rsid w:val="74416441"/>
    <w:rsid w:val="74D86DA5"/>
    <w:rsid w:val="75116375"/>
    <w:rsid w:val="75A86778"/>
    <w:rsid w:val="75FE6CDF"/>
    <w:rsid w:val="75FEB6B0"/>
    <w:rsid w:val="760C119D"/>
    <w:rsid w:val="76366479"/>
    <w:rsid w:val="7645695C"/>
    <w:rsid w:val="766D79C1"/>
    <w:rsid w:val="76BF7B13"/>
    <w:rsid w:val="77081270"/>
    <w:rsid w:val="772203DA"/>
    <w:rsid w:val="77253DF8"/>
    <w:rsid w:val="774964D1"/>
    <w:rsid w:val="779330CC"/>
    <w:rsid w:val="77F53FBA"/>
    <w:rsid w:val="78AC657F"/>
    <w:rsid w:val="78AD0F52"/>
    <w:rsid w:val="78D57A3E"/>
    <w:rsid w:val="79560F2E"/>
    <w:rsid w:val="79A951B4"/>
    <w:rsid w:val="79B17BC5"/>
    <w:rsid w:val="79C142AC"/>
    <w:rsid w:val="79F7469F"/>
    <w:rsid w:val="79F849A3"/>
    <w:rsid w:val="7AF1296F"/>
    <w:rsid w:val="7B4F5C06"/>
    <w:rsid w:val="7B880E1A"/>
    <w:rsid w:val="7BC57D24"/>
    <w:rsid w:val="7C792C1C"/>
    <w:rsid w:val="7CCA3477"/>
    <w:rsid w:val="7CF16C56"/>
    <w:rsid w:val="7D006E99"/>
    <w:rsid w:val="7D2C64CA"/>
    <w:rsid w:val="7D4A6868"/>
    <w:rsid w:val="7DCB56F9"/>
    <w:rsid w:val="7DF6453D"/>
    <w:rsid w:val="7DFEBD14"/>
    <w:rsid w:val="7E930E19"/>
    <w:rsid w:val="7EE607CC"/>
    <w:rsid w:val="7F080287"/>
    <w:rsid w:val="7F1A449D"/>
    <w:rsid w:val="7F6353CB"/>
    <w:rsid w:val="7F82628B"/>
    <w:rsid w:val="7FBE1C57"/>
    <w:rsid w:val="DD77F8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character" w:default="1" w:styleId="24">
    <w:name w:val="Default Paragraph Font"/>
    <w:unhideWhenUsed/>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widowControl/>
      <w:ind w:firstLine="420"/>
      <w:jc w:val="left"/>
    </w:pPr>
    <w:rPr>
      <w:kern w:val="0"/>
      <w:sz w:val="20"/>
      <w:szCs w:val="20"/>
    </w:rPr>
  </w:style>
  <w:style w:type="paragraph" w:styleId="5">
    <w:name w:val="Document Map"/>
    <w:basedOn w:val="1"/>
    <w:qFormat/>
    <w:uiPriority w:val="99"/>
    <w:pPr>
      <w:shd w:val="clear" w:color="auto" w:fill="000080"/>
    </w:pPr>
  </w:style>
  <w:style w:type="paragraph" w:styleId="6">
    <w:name w:val="toa heading"/>
    <w:basedOn w:val="1"/>
    <w:next w:val="1"/>
    <w:uiPriority w:val="0"/>
    <w:pPr>
      <w:widowControl/>
      <w:spacing w:before="120"/>
      <w:jc w:val="left"/>
    </w:pPr>
    <w:rPr>
      <w:rFonts w:ascii="Arial" w:hAnsi="Arial" w:cs="Arial"/>
      <w:kern w:val="0"/>
      <w:sz w:val="24"/>
    </w:rPr>
  </w:style>
  <w:style w:type="paragraph" w:styleId="7">
    <w:name w:val="annotation text"/>
    <w:basedOn w:val="1"/>
    <w:link w:val="28"/>
    <w:semiHidden/>
    <w:qFormat/>
    <w:uiPriority w:val="0"/>
    <w:pPr>
      <w:adjustRightInd w:val="0"/>
      <w:spacing w:line="360" w:lineRule="atLeast"/>
      <w:jc w:val="left"/>
      <w:textAlignment w:val="baseline"/>
    </w:pPr>
    <w:rPr>
      <w:kern w:val="0"/>
      <w:sz w:val="24"/>
      <w:szCs w:val="20"/>
    </w:rPr>
  </w:style>
  <w:style w:type="paragraph" w:styleId="8">
    <w:name w:val="Body Text"/>
    <w:basedOn w:val="1"/>
    <w:next w:val="1"/>
    <w:qFormat/>
    <w:uiPriority w:val="0"/>
    <w:pPr>
      <w:spacing w:after="120" w:afterLines="0"/>
    </w:pPr>
    <w:rPr>
      <w:rFonts w:ascii="Times New Roman" w:hAnsi="Times New Roman" w:eastAsia="宋体"/>
    </w:rPr>
  </w:style>
  <w:style w:type="paragraph" w:styleId="9">
    <w:name w:val="Body Text Indent"/>
    <w:basedOn w:val="1"/>
    <w:qFormat/>
    <w:uiPriority w:val="0"/>
    <w:pPr>
      <w:spacing w:line="200" w:lineRule="exact"/>
      <w:ind w:firstLine="301"/>
    </w:pPr>
    <w:rPr>
      <w:rFonts w:ascii="宋体"/>
      <w:spacing w:val="-4"/>
      <w:sz w:val="18"/>
      <w:szCs w:val="20"/>
    </w:rPr>
  </w:style>
  <w:style w:type="paragraph" w:styleId="10">
    <w:name w:val="Plain Text"/>
    <w:basedOn w:val="1"/>
    <w:link w:val="29"/>
    <w:qFormat/>
    <w:uiPriority w:val="0"/>
    <w:rPr>
      <w:rFonts w:ascii="宋体" w:hAnsi="Courier New"/>
      <w:szCs w:val="20"/>
    </w:rPr>
  </w:style>
  <w:style w:type="paragraph" w:styleId="11">
    <w:name w:val="Date"/>
    <w:basedOn w:val="1"/>
    <w:next w:val="1"/>
    <w:link w:val="30"/>
    <w:qFormat/>
    <w:uiPriority w:val="0"/>
    <w:pPr>
      <w:ind w:left="100" w:leftChars="2500"/>
    </w:pPr>
  </w:style>
  <w:style w:type="paragraph" w:styleId="12">
    <w:name w:val="Body Text Indent 2"/>
    <w:basedOn w:val="1"/>
    <w:qFormat/>
    <w:uiPriority w:val="0"/>
    <w:pPr>
      <w:spacing w:line="480" w:lineRule="auto"/>
      <w:ind w:left="420"/>
    </w:pPr>
  </w:style>
  <w:style w:type="paragraph" w:styleId="13">
    <w:name w:val="Balloon Text"/>
    <w:basedOn w:val="1"/>
    <w:link w:val="31"/>
    <w:unhideWhenUsed/>
    <w:qFormat/>
    <w:uiPriority w:val="0"/>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Body Text 2"/>
    <w:basedOn w:val="1"/>
    <w:link w:val="34"/>
    <w:qFormat/>
    <w:uiPriority w:val="0"/>
    <w:pPr>
      <w:spacing w:after="120" w:line="480" w:lineRule="auto"/>
    </w:pPr>
  </w:style>
  <w:style w:type="paragraph" w:styleId="18">
    <w:name w:val="Normal (Web)"/>
    <w:basedOn w:val="1"/>
    <w:qFormat/>
    <w:uiPriority w:val="0"/>
    <w:pPr>
      <w:widowControl/>
      <w:spacing w:before="100" w:beforeAutospacing="1" w:after="100" w:afterAutospacing="1"/>
      <w:jc w:val="left"/>
    </w:pPr>
    <w:rPr>
      <w:rFonts w:ascii="宋体" w:hAnsi="宋体"/>
      <w:kern w:val="0"/>
      <w:sz w:val="24"/>
    </w:rPr>
  </w:style>
  <w:style w:type="paragraph" w:styleId="19">
    <w:name w:val="index 1"/>
    <w:basedOn w:val="1"/>
    <w:next w:val="1"/>
    <w:qFormat/>
    <w:uiPriority w:val="0"/>
    <w:pPr>
      <w:widowControl/>
      <w:spacing w:after="120" w:line="400" w:lineRule="exact"/>
      <w:jc w:val="center"/>
    </w:pPr>
    <w:rPr>
      <w:rFonts w:ascii="宋体" w:hAnsi="宋体" w:cs="宋体"/>
      <w:kern w:val="0"/>
      <w:sz w:val="24"/>
    </w:rPr>
  </w:style>
  <w:style w:type="paragraph" w:styleId="20">
    <w:name w:val="annotation subject"/>
    <w:basedOn w:val="7"/>
    <w:next w:val="7"/>
    <w:link w:val="35"/>
    <w:unhideWhenUsed/>
    <w:qFormat/>
    <w:uiPriority w:val="99"/>
    <w:pPr>
      <w:adjustRightInd/>
      <w:spacing w:line="240" w:lineRule="auto"/>
      <w:textAlignment w:val="auto"/>
    </w:pPr>
    <w:rPr>
      <w:b/>
      <w:bCs/>
      <w:kern w:val="2"/>
      <w:sz w:val="21"/>
      <w:szCs w:val="24"/>
    </w:rPr>
  </w:style>
  <w:style w:type="paragraph" w:styleId="21">
    <w:name w:val="Body Text First Indent 2"/>
    <w:basedOn w:val="9"/>
    <w:next w:val="1"/>
    <w:qFormat/>
    <w:uiPriority w:val="0"/>
    <w:pPr>
      <w:spacing w:line="360" w:lineRule="auto"/>
      <w:ind w:firstLine="420" w:firstLineChars="200"/>
    </w:pPr>
    <w:rPr>
      <w:rFonts w:hAnsi="宋体"/>
      <w:spacing w:val="0"/>
      <w:sz w:val="21"/>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qFormat/>
    <w:uiPriority w:val="0"/>
  </w:style>
  <w:style w:type="character" w:styleId="27">
    <w:name w:val="Hyperlink"/>
    <w:basedOn w:val="24"/>
    <w:qFormat/>
    <w:uiPriority w:val="99"/>
    <w:rPr>
      <w:color w:val="0000FF"/>
      <w:u w:val="single"/>
    </w:rPr>
  </w:style>
  <w:style w:type="character" w:customStyle="1" w:styleId="28">
    <w:name w:val="批注文字 字符"/>
    <w:link w:val="7"/>
    <w:semiHidden/>
    <w:qFormat/>
    <w:uiPriority w:val="0"/>
    <w:rPr>
      <w:rFonts w:ascii="Times New Roman" w:hAnsi="Times New Roman" w:eastAsia="宋体" w:cs="Times New Roman"/>
      <w:kern w:val="0"/>
      <w:sz w:val="24"/>
      <w:szCs w:val="20"/>
    </w:rPr>
  </w:style>
  <w:style w:type="character" w:customStyle="1" w:styleId="29">
    <w:name w:val="纯文本 字符"/>
    <w:link w:val="10"/>
    <w:qFormat/>
    <w:uiPriority w:val="0"/>
    <w:rPr>
      <w:rFonts w:ascii="宋体" w:hAnsi="Courier New" w:eastAsia="宋体" w:cs="Times New Roman"/>
      <w:szCs w:val="20"/>
    </w:rPr>
  </w:style>
  <w:style w:type="character" w:customStyle="1" w:styleId="30">
    <w:name w:val="日期 字符"/>
    <w:link w:val="11"/>
    <w:qFormat/>
    <w:uiPriority w:val="0"/>
    <w:rPr>
      <w:rFonts w:ascii="Times New Roman" w:hAnsi="Times New Roman" w:eastAsia="宋体" w:cs="Times New Roman"/>
      <w:szCs w:val="24"/>
    </w:rPr>
  </w:style>
  <w:style w:type="character" w:customStyle="1" w:styleId="31">
    <w:name w:val="批注框文本 字符"/>
    <w:link w:val="13"/>
    <w:semiHidden/>
    <w:qFormat/>
    <w:uiPriority w:val="99"/>
    <w:rPr>
      <w:rFonts w:ascii="Times New Roman" w:hAnsi="Times New Roman" w:eastAsia="宋体" w:cs="Times New Roman"/>
      <w:sz w:val="18"/>
      <w:szCs w:val="18"/>
    </w:rPr>
  </w:style>
  <w:style w:type="character" w:customStyle="1" w:styleId="32">
    <w:name w:val="页脚 字符"/>
    <w:link w:val="14"/>
    <w:semiHidden/>
    <w:qFormat/>
    <w:uiPriority w:val="99"/>
    <w:rPr>
      <w:sz w:val="18"/>
      <w:szCs w:val="18"/>
    </w:rPr>
  </w:style>
  <w:style w:type="character" w:customStyle="1" w:styleId="33">
    <w:name w:val="页眉 字符"/>
    <w:link w:val="15"/>
    <w:semiHidden/>
    <w:qFormat/>
    <w:uiPriority w:val="99"/>
    <w:rPr>
      <w:sz w:val="18"/>
      <w:szCs w:val="18"/>
    </w:rPr>
  </w:style>
  <w:style w:type="character" w:customStyle="1" w:styleId="34">
    <w:name w:val="正文文本 2 字符"/>
    <w:link w:val="17"/>
    <w:qFormat/>
    <w:uiPriority w:val="0"/>
    <w:rPr>
      <w:rFonts w:ascii="Times New Roman" w:hAnsi="Times New Roman" w:eastAsia="宋体" w:cs="Times New Roman"/>
      <w:szCs w:val="24"/>
    </w:rPr>
  </w:style>
  <w:style w:type="character" w:customStyle="1" w:styleId="35">
    <w:name w:val="批注主题 字符"/>
    <w:link w:val="20"/>
    <w:semiHidden/>
    <w:qFormat/>
    <w:uiPriority w:val="99"/>
    <w:rPr>
      <w:b/>
      <w:bCs/>
      <w:szCs w:val="24"/>
    </w:rPr>
  </w:style>
  <w:style w:type="paragraph" w:customStyle="1" w:styleId="36">
    <w:name w:val="PlainText"/>
    <w:basedOn w:val="1"/>
    <w:qFormat/>
    <w:uiPriority w:val="0"/>
    <w:pPr>
      <w:textAlignment w:val="baseline"/>
    </w:pPr>
    <w:rPr>
      <w:rFonts w:ascii="宋体" w:hAnsi="Courier New"/>
      <w:szCs w:val="21"/>
    </w:rPr>
  </w:style>
  <w:style w:type="character" w:customStyle="1" w:styleId="37">
    <w:name w:val="texthight1"/>
    <w:qFormat/>
    <w:uiPriority w:val="0"/>
  </w:style>
  <w:style w:type="character" w:customStyle="1" w:styleId="38">
    <w:name w:val="NormalCharacter"/>
    <w:semiHidden/>
    <w:qFormat/>
    <w:uiPriority w:val="0"/>
    <w:rPr>
      <w:kern w:val="2"/>
      <w:sz w:val="21"/>
      <w:szCs w:val="24"/>
      <w:lang w:val="en-US" w:eastAsia="zh-CN" w:bidi="ar-SA"/>
    </w:rPr>
  </w:style>
  <w:style w:type="paragraph" w:customStyle="1" w:styleId="39">
    <w:name w:val="Char Char Char Char Char Char Char Char Char Char Char Char Char"/>
    <w:basedOn w:val="1"/>
    <w:qFormat/>
    <w:uiPriority w:val="0"/>
    <w:pPr>
      <w:snapToGrid w:val="0"/>
      <w:spacing w:line="360" w:lineRule="auto"/>
      <w:ind w:firstLine="200" w:firstLineChars="200"/>
    </w:pPr>
    <w:rPr>
      <w:rFonts w:eastAsia="仿宋_GB2312"/>
      <w:sz w:val="24"/>
    </w:rPr>
  </w:style>
  <w:style w:type="paragraph" w:styleId="40">
    <w:name w:val="List Paragraph"/>
    <w:basedOn w:val="1"/>
    <w:qFormat/>
    <w:uiPriority w:val="34"/>
    <w:pPr>
      <w:ind w:firstLine="420" w:firstLineChars="200"/>
    </w:pPr>
  </w:style>
  <w:style w:type="paragraph" w:customStyle="1" w:styleId="41">
    <w:name w:val="表格文字"/>
    <w:basedOn w:val="1"/>
    <w:qFormat/>
    <w:uiPriority w:val="0"/>
    <w:pPr>
      <w:adjustRightInd w:val="0"/>
      <w:spacing w:line="360" w:lineRule="auto"/>
      <w:ind w:firstLine="200" w:firstLineChars="200"/>
      <w:jc w:val="left"/>
      <w:textAlignment w:val="baseline"/>
    </w:pPr>
    <w:rPr>
      <w:rFonts w:ascii="Arial" w:hAnsi="Arial"/>
      <w:kern w:val="0"/>
      <w:sz w:val="24"/>
      <w:szCs w:val="20"/>
    </w:rPr>
  </w:style>
  <w:style w:type="paragraph" w:customStyle="1" w:styleId="42">
    <w:name w:val="_Style 2"/>
    <w:basedOn w:val="1"/>
    <w:next w:val="1"/>
    <w:qFormat/>
    <w:uiPriority w:val="0"/>
    <w:pPr>
      <w:pBdr>
        <w:bottom w:val="single" w:color="auto" w:sz="6" w:space="1"/>
      </w:pBdr>
      <w:jc w:val="center"/>
    </w:pPr>
    <w:rPr>
      <w:rFonts w:ascii="Arial" w:eastAsia="宋体"/>
      <w:vanish/>
      <w:sz w:val="16"/>
    </w:r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_Style 1"/>
    <w:basedOn w:val="1"/>
    <w:next w:val="1"/>
    <w:qFormat/>
    <w:uiPriority w:val="0"/>
    <w:pPr>
      <w:pBdr>
        <w:top w:val="single" w:color="auto" w:sz="6" w:space="1"/>
      </w:pBdr>
      <w:jc w:val="center"/>
    </w:pPr>
    <w:rPr>
      <w:rFonts w:ascii="Arial" w:eastAsia="宋体"/>
      <w:vanish/>
      <w:sz w:val="16"/>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Char1 Char Char Char Char Char Char"/>
    <w:basedOn w:val="1"/>
    <w:qFormat/>
    <w:uiPriority w:val="0"/>
    <w:rPr>
      <w:rFonts w:ascii="Tahoma" w:hAnsi="Tahoma"/>
      <w:sz w:val="24"/>
      <w:szCs w:val="20"/>
    </w:rPr>
  </w:style>
  <w:style w:type="paragraph" w:customStyle="1" w:styleId="47">
    <w:name w:val="目录文字"/>
    <w:basedOn w:val="1"/>
    <w:qFormat/>
    <w:uiPriority w:val="0"/>
    <w:pPr>
      <w:widowControl/>
      <w:spacing w:line="480" w:lineRule="auto"/>
      <w:jc w:val="left"/>
    </w:pPr>
    <w:rPr>
      <w:rFonts w:ascii="宋体" w:hAnsi="宋体"/>
      <w:kern w:val="0"/>
      <w:sz w:val="24"/>
      <w:szCs w:val="20"/>
    </w:rPr>
  </w:style>
  <w:style w:type="paragraph" w:customStyle="1" w:styleId="48">
    <w:name w:val="p2"/>
    <w:basedOn w:val="1"/>
    <w:qFormat/>
    <w:uiPriority w:val="0"/>
    <w:pPr>
      <w:widowControl/>
      <w:spacing w:line="480" w:lineRule="auto"/>
      <w:ind w:firstLine="420"/>
      <w:jc w:val="left"/>
    </w:pPr>
    <w:rPr>
      <w:rFonts w:ascii="宋体" w:hAnsi="宋体" w:cs="宋体"/>
      <w:kern w:val="0"/>
      <w:szCs w:val="21"/>
    </w:rPr>
  </w:style>
  <w:style w:type="paragraph" w:customStyle="1" w:styleId="49">
    <w:name w:val="正文1"/>
    <w:basedOn w:val="1"/>
    <w:qFormat/>
    <w:uiPriority w:val="0"/>
    <w:pPr>
      <w:spacing w:line="360" w:lineRule="auto"/>
      <w:ind w:firstLine="361"/>
    </w:pPr>
    <w:rPr>
      <w:rFonts w:ascii="宋体" w:hAnsi="宋体"/>
      <w:szCs w:val="24"/>
    </w:rPr>
  </w:style>
  <w:style w:type="paragraph" w:customStyle="1" w:styleId="5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font21"/>
    <w:qFormat/>
    <w:uiPriority w:val="0"/>
    <w:rPr>
      <w:rFonts w:hint="eastAsia" w:ascii="微软雅黑" w:hAnsi="微软雅黑" w:eastAsia="微软雅黑" w:cs="微软雅黑"/>
      <w:color w:val="000000"/>
      <w:sz w:val="20"/>
      <w:szCs w:val="20"/>
      <w:u w:val="none"/>
    </w:rPr>
  </w:style>
  <w:style w:type="character" w:customStyle="1" w:styleId="52">
    <w:name w:val="font112"/>
    <w:qFormat/>
    <w:uiPriority w:val="0"/>
    <w:rPr>
      <w:rFonts w:hint="eastAsia" w:ascii="宋体" w:hAnsi="宋体" w:eastAsia="宋体" w:cs="宋体"/>
      <w:color w:val="000000"/>
      <w:sz w:val="20"/>
      <w:szCs w:val="20"/>
      <w:u w:val="none"/>
    </w:rPr>
  </w:style>
  <w:style w:type="character" w:customStyle="1" w:styleId="53">
    <w:name w:val="grame"/>
    <w:qFormat/>
    <w:uiPriority w:val="0"/>
  </w:style>
  <w:style w:type="paragraph" w:customStyle="1" w:styleId="54">
    <w:name w:val="图文"/>
    <w:basedOn w:val="1"/>
    <w:qFormat/>
    <w:uiPriority w:val="0"/>
    <w:pPr>
      <w:adjustRightInd w:val="0"/>
      <w:snapToGrid w:val="0"/>
      <w:spacing w:after="50" w:line="360" w:lineRule="auto"/>
    </w:pPr>
    <w:rPr>
      <w:rFonts w:ascii="Times New Roman" w:hAnsi="Times New Roman"/>
      <w:sz w:val="24"/>
    </w:rPr>
  </w:style>
  <w:style w:type="paragraph" w:customStyle="1" w:styleId="55">
    <w:name w:val="(符号)三标题1.1"/>
    <w:basedOn w:val="1"/>
    <w:qFormat/>
    <w:uiPriority w:val="0"/>
    <w:pPr>
      <w:numPr>
        <w:ilvl w:val="0"/>
        <w:numId w:val="1"/>
      </w:numPr>
      <w:spacing w:before="140" w:after="140" w:line="500" w:lineRule="exact"/>
      <w:outlineLvl w:val="2"/>
    </w:pPr>
    <w:rPr>
      <w:rFonts w:ascii="楷体_GB2312" w:hAnsi="宋体" w:eastAsia="楷体_GB2312" w:cs="宋体"/>
      <w:b/>
      <w:bCs/>
      <w:sz w:val="28"/>
      <w:szCs w:val="20"/>
    </w:rPr>
  </w:style>
  <w:style w:type="paragraph" w:customStyle="1" w:styleId="56">
    <w:name w:val="05正文"/>
    <w:basedOn w:val="1"/>
    <w:qFormat/>
    <w:uiPriority w:val="0"/>
    <w:pPr>
      <w:jc w:val="left"/>
    </w:pPr>
    <w:rPr>
      <w:rFonts w:ascii="宋体" w:hAnsi="Calibri"/>
      <w:szCs w:val="24"/>
    </w:rPr>
  </w:style>
  <w:style w:type="paragraph" w:customStyle="1" w:styleId="5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8">
    <w:name w:val="列出段落1"/>
    <w:basedOn w:val="1"/>
    <w:qFormat/>
    <w:uiPriority w:val="0"/>
    <w:pPr>
      <w:ind w:firstLine="420" w:firstLineChars="200"/>
    </w:pPr>
    <w:rPr>
      <w:szCs w:val="21"/>
    </w:rPr>
  </w:style>
  <w:style w:type="character" w:customStyle="1" w:styleId="59">
    <w:name w:val="font31"/>
    <w:basedOn w:val="24"/>
    <w:qFormat/>
    <w:uiPriority w:val="0"/>
    <w:rPr>
      <w:rFonts w:hint="default" w:ascii="Times New Roman" w:hAnsi="Times New Roman" w:cs="Times New Roman"/>
      <w:color w:val="000000"/>
      <w:sz w:val="20"/>
      <w:szCs w:val="20"/>
      <w:u w:val="none"/>
    </w:rPr>
  </w:style>
  <w:style w:type="character" w:customStyle="1" w:styleId="60">
    <w:name w:val="font61"/>
    <w:basedOn w:val="24"/>
    <w:qFormat/>
    <w:uiPriority w:val="0"/>
    <w:rPr>
      <w:rFonts w:ascii="宋体" w:hAnsi="宋体" w:eastAsia="宋体" w:cs="宋体"/>
      <w:color w:val="000000"/>
      <w:sz w:val="16"/>
      <w:szCs w:val="16"/>
      <w:u w:val="none"/>
    </w:rPr>
  </w:style>
  <w:style w:type="table" w:customStyle="1" w:styleId="61">
    <w:name w:val="Table Normal"/>
    <w:unhideWhenUsed/>
    <w:qFormat/>
    <w:uiPriority w:val="0"/>
    <w:tblPr>
      <w:tblCellMar>
        <w:top w:w="0" w:type="dxa"/>
        <w:left w:w="0" w:type="dxa"/>
        <w:bottom w:w="0" w:type="dxa"/>
        <w:right w:w="0" w:type="dxa"/>
      </w:tblCellMar>
    </w:tblPr>
  </w:style>
  <w:style w:type="paragraph" w:customStyle="1" w:styleId="62">
    <w:name w:val="Table Text"/>
    <w:basedOn w:val="1"/>
    <w:semiHidden/>
    <w:qFormat/>
    <w:uiPriority w:val="0"/>
    <w:rPr>
      <w:rFonts w:ascii="仿宋" w:hAnsi="仿宋" w:eastAsia="仿宋" w:cs="仿宋"/>
      <w:sz w:val="24"/>
      <w:szCs w:val="24"/>
      <w:lang w:val="en-US" w:eastAsia="en-US" w:bidi="ar-SA"/>
    </w:rPr>
  </w:style>
  <w:style w:type="character" w:customStyle="1" w:styleId="63">
    <w:name w:val="font11"/>
    <w:basedOn w:val="2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93</Pages>
  <Words>19942</Words>
  <Characters>23754</Characters>
  <Lines>280</Lines>
  <Paragraphs>79</Paragraphs>
  <TotalTime>5</TotalTime>
  <ScaleCrop>false</ScaleCrop>
  <LinksUpToDate>false</LinksUpToDate>
  <CharactersWithSpaces>24238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2018-07-28T10:24:00Z</dcterms:created>
  <dc:creator>ASUS</dc:creator>
  <cp:lastModifiedBy>Admin</cp:lastModifiedBy>
  <cp:lastPrinted>2025-06-06T09:37:00Z</cp:lastPrinted>
  <dcterms:modified xsi:type="dcterms:W3CDTF">2026-08-07T01:26:44Z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F5F41A73BB42423E8F95400C973341A1_13</vt:lpwstr>
  </property>
  <property fmtid="{D5CDD505-2E9C-101B-9397-08002B2CF9AE}" pid="4" name="KSOTemplateDocerSaveRecord">
    <vt:lpwstr>eyJoZGlkIjoiMzllZmE4MzM4ZWU0YzMzOTcyYWYxMzAyZWJlMjVmZTMiLCJ1c2VySWQiOiI2ODUxNjkyNzgifQ==</vt:lpwstr>
  </property>
</Properties>
</file>